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76166" w14:textId="3B6D054B" w:rsidR="00BD21BC" w:rsidRPr="00A518F6" w:rsidRDefault="007A387E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7A387E">
        <w:rPr>
          <w:rFonts w:eastAsia="MS Mincho" w:cs="Arial"/>
          <w:kern w:val="0"/>
          <w:sz w:val="24"/>
          <w:lang w:val="en-US" w:eastAsia="en-US"/>
        </w:rPr>
        <w:t>3GPP TSG-RAN1 NB-IOT Ad Hoc</w:t>
      </w:r>
      <w:r w:rsidR="00BD21BC" w:rsidRPr="00706775">
        <w:rPr>
          <w:rFonts w:eastAsia="MS Mincho" w:cs="Arial"/>
          <w:kern w:val="0"/>
          <w:sz w:val="24"/>
          <w:lang w:val="en-US" w:eastAsia="en-US"/>
        </w:rPr>
        <w:tab/>
      </w:r>
      <w:r w:rsidR="00BD21BC" w:rsidRPr="007A387E">
        <w:rPr>
          <w:rFonts w:eastAsia="MS Mincho" w:cs="Arial"/>
          <w:kern w:val="0"/>
          <w:sz w:val="24"/>
          <w:lang w:val="en-US" w:eastAsia="en-US"/>
        </w:rPr>
        <w:t>R</w:t>
      </w:r>
      <w:r w:rsidR="00582D4B" w:rsidRPr="007A387E">
        <w:rPr>
          <w:rFonts w:eastAsia="MS Mincho" w:cs="Arial"/>
          <w:kern w:val="0"/>
          <w:sz w:val="24"/>
          <w:lang w:val="en-US" w:eastAsia="en-US"/>
        </w:rPr>
        <w:t>1</w:t>
      </w:r>
      <w:r w:rsidR="00BD21BC" w:rsidRPr="00A518F6">
        <w:rPr>
          <w:rFonts w:eastAsia="MS Mincho" w:cs="Arial"/>
          <w:kern w:val="0"/>
          <w:sz w:val="24"/>
          <w:lang w:val="en-US" w:eastAsia="en-US"/>
        </w:rPr>
        <w:t>-1</w:t>
      </w:r>
      <w:r w:rsidR="00554EA5" w:rsidRPr="00A518F6">
        <w:rPr>
          <w:rFonts w:eastAsia="MS Mincho" w:cs="Arial"/>
          <w:kern w:val="0"/>
          <w:sz w:val="24"/>
          <w:lang w:val="en-US" w:eastAsia="en-US"/>
        </w:rPr>
        <w:t>6</w:t>
      </w:r>
      <w:r w:rsidR="005F3B38" w:rsidRPr="00A518F6">
        <w:rPr>
          <w:rFonts w:eastAsia="MS Mincho" w:cs="Arial"/>
          <w:kern w:val="0"/>
          <w:sz w:val="24"/>
          <w:lang w:val="en-US" w:eastAsia="en-US"/>
        </w:rPr>
        <w:t>0095</w:t>
      </w:r>
    </w:p>
    <w:p w14:paraId="51C05F98" w14:textId="162C021F" w:rsidR="00BD21BC" w:rsidRPr="00721F22" w:rsidRDefault="00721F22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721F22">
        <w:rPr>
          <w:rFonts w:eastAsia="MS Mincho" w:cs="Arial"/>
          <w:kern w:val="0"/>
          <w:sz w:val="24"/>
          <w:lang w:val="en-US" w:eastAsia="en-US"/>
        </w:rPr>
        <w:t>1</w:t>
      </w:r>
      <w:r w:rsidR="00467279">
        <w:rPr>
          <w:rFonts w:eastAsia="MS Mincho" w:cs="Arial"/>
          <w:kern w:val="0"/>
          <w:sz w:val="24"/>
          <w:lang w:val="en-US" w:eastAsia="en-US"/>
        </w:rPr>
        <w:t>8</w:t>
      </w:r>
      <w:r w:rsidRPr="00721F22">
        <w:rPr>
          <w:rFonts w:eastAsia="MS Mincho" w:cs="Arial"/>
          <w:kern w:val="0"/>
          <w:sz w:val="24"/>
          <w:lang w:val="en-US" w:eastAsia="en-US"/>
        </w:rPr>
        <w:t>-</w:t>
      </w:r>
      <w:r w:rsidR="00467279">
        <w:rPr>
          <w:rFonts w:eastAsia="MS Mincho" w:cs="Arial"/>
          <w:kern w:val="0"/>
          <w:sz w:val="24"/>
          <w:lang w:val="en-US" w:eastAsia="en-US"/>
        </w:rPr>
        <w:t>20</w:t>
      </w:r>
      <w:r w:rsidRPr="00721F22">
        <w:rPr>
          <w:rFonts w:eastAsia="MS Mincho" w:cs="Arial"/>
          <w:kern w:val="0"/>
          <w:sz w:val="24"/>
          <w:lang w:val="en-US" w:eastAsia="en-US"/>
        </w:rPr>
        <w:t xml:space="preserve"> </w:t>
      </w:r>
      <w:r w:rsidR="00554EA5" w:rsidRPr="00721F22">
        <w:rPr>
          <w:rFonts w:eastAsia="MS Mincho" w:cs="Arial"/>
          <w:kern w:val="0"/>
          <w:sz w:val="24"/>
          <w:lang w:val="en-US" w:eastAsia="en-US"/>
        </w:rPr>
        <w:t>January</w:t>
      </w:r>
      <w:r w:rsidR="00BD21BC" w:rsidRPr="00721F22">
        <w:rPr>
          <w:rFonts w:eastAsia="MS Mincho" w:cs="Arial"/>
          <w:kern w:val="0"/>
          <w:sz w:val="24"/>
          <w:lang w:val="en-US" w:eastAsia="en-US"/>
        </w:rPr>
        <w:t xml:space="preserve"> 201</w:t>
      </w:r>
      <w:r w:rsidR="00554EA5" w:rsidRPr="00721F22">
        <w:rPr>
          <w:rFonts w:eastAsia="MS Mincho" w:cs="Arial"/>
          <w:kern w:val="0"/>
          <w:sz w:val="24"/>
          <w:lang w:val="en-US" w:eastAsia="en-US"/>
        </w:rPr>
        <w:t>6</w:t>
      </w:r>
    </w:p>
    <w:p w14:paraId="5C202661" w14:textId="409954DE" w:rsidR="00BD21BC" w:rsidRPr="00BD21BC" w:rsidRDefault="002D3E31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2D3E31">
        <w:rPr>
          <w:rFonts w:eastAsia="MS Mincho" w:cs="Arial"/>
          <w:kern w:val="0"/>
          <w:sz w:val="24"/>
          <w:lang w:val="en-US" w:eastAsia="en-US"/>
        </w:rPr>
        <w:t>Budapest</w:t>
      </w:r>
      <w:r w:rsidR="00BD21BC" w:rsidRPr="002D3E31">
        <w:rPr>
          <w:rFonts w:eastAsia="MS Mincho" w:cs="Arial"/>
          <w:kern w:val="0"/>
          <w:sz w:val="24"/>
          <w:lang w:val="en-US" w:eastAsia="en-US"/>
        </w:rPr>
        <w:t xml:space="preserve">, </w:t>
      </w:r>
      <w:r w:rsidRPr="002D3E31">
        <w:rPr>
          <w:rFonts w:eastAsia="MS Mincho" w:cs="Arial"/>
          <w:kern w:val="0"/>
          <w:sz w:val="24"/>
          <w:lang w:val="en-US" w:eastAsia="en-US"/>
        </w:rPr>
        <w:t>Hungary</w:t>
      </w:r>
    </w:p>
    <w:p w14:paraId="586D411C" w14:textId="77777777" w:rsidR="00BD21BC" w:rsidRPr="00B24337" w:rsidRDefault="00BD21BC" w:rsidP="00BD21BC">
      <w:pPr>
        <w:pStyle w:val="Title"/>
        <w:pBdr>
          <w:bottom w:val="single" w:sz="4" w:space="1" w:color="auto"/>
        </w:pBdr>
        <w:tabs>
          <w:tab w:val="left" w:pos="2085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</w:p>
    <w:p w14:paraId="7267C242" w14:textId="0E43AAB0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Source:                    </w:t>
      </w:r>
      <w:r w:rsidRPr="00B24337">
        <w:rPr>
          <w:rFonts w:cs="Arial"/>
          <w:b/>
          <w:sz w:val="24"/>
          <w:lang w:val="en-US" w:eastAsia="ja-JP"/>
        </w:rPr>
        <w:tab/>
      </w:r>
      <w:r w:rsidRPr="00DF438D">
        <w:rPr>
          <w:rFonts w:cs="Arial"/>
          <w:b/>
          <w:sz w:val="24"/>
          <w:lang w:val="en-US" w:eastAsia="ja-JP"/>
        </w:rPr>
        <w:t>Ericsson</w:t>
      </w:r>
    </w:p>
    <w:p w14:paraId="11945E2F" w14:textId="4B7C5374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Title:  </w:t>
      </w:r>
      <w:r w:rsidRPr="00B24337">
        <w:rPr>
          <w:rFonts w:cs="Arial"/>
          <w:b/>
          <w:sz w:val="24"/>
          <w:lang w:val="en-US"/>
        </w:rPr>
        <w:tab/>
      </w:r>
      <w:r w:rsidRPr="00BD21BC">
        <w:rPr>
          <w:rFonts w:cs="Arial"/>
          <w:b/>
          <w:sz w:val="24"/>
          <w:lang w:val="en-US" w:eastAsia="ja-JP"/>
        </w:rPr>
        <w:t>N</w:t>
      </w:r>
      <w:r w:rsidR="00DE35EB">
        <w:rPr>
          <w:rFonts w:cs="Arial"/>
          <w:b/>
          <w:sz w:val="24"/>
          <w:lang w:val="en-US" w:eastAsia="ja-JP"/>
        </w:rPr>
        <w:t>B-</w:t>
      </w:r>
      <w:proofErr w:type="spellStart"/>
      <w:r w:rsidR="001F6DF3">
        <w:rPr>
          <w:rFonts w:cs="Arial"/>
          <w:b/>
          <w:sz w:val="24"/>
          <w:lang w:val="en-US" w:eastAsia="ja-JP"/>
        </w:rPr>
        <w:t>IoT</w:t>
      </w:r>
      <w:proofErr w:type="spellEnd"/>
      <w:r w:rsidR="00DE35EB">
        <w:rPr>
          <w:rFonts w:cs="Arial"/>
          <w:b/>
          <w:sz w:val="24"/>
          <w:lang w:val="en-US" w:eastAsia="ja-JP"/>
        </w:rPr>
        <w:t xml:space="preserve"> </w:t>
      </w:r>
      <w:r w:rsidR="00BB1C99">
        <w:rPr>
          <w:rFonts w:cs="Arial"/>
          <w:b/>
          <w:sz w:val="24"/>
          <w:lang w:val="en-US" w:eastAsia="ja-JP"/>
        </w:rPr>
        <w:t>–</w:t>
      </w:r>
      <w:r w:rsidR="00DE35EB">
        <w:rPr>
          <w:rFonts w:cs="Arial"/>
          <w:b/>
          <w:sz w:val="24"/>
          <w:lang w:val="en-US" w:eastAsia="ja-JP"/>
        </w:rPr>
        <w:t xml:space="preserve"> </w:t>
      </w:r>
      <w:r w:rsidR="00BB1C99">
        <w:rPr>
          <w:rFonts w:cs="Arial"/>
          <w:b/>
          <w:sz w:val="24"/>
          <w:lang w:val="en-US" w:eastAsia="ja-JP"/>
        </w:rPr>
        <w:t>Near-Far Performance</w:t>
      </w:r>
      <w:r w:rsidR="004E181A">
        <w:rPr>
          <w:rFonts w:cs="Arial"/>
          <w:b/>
          <w:sz w:val="24"/>
          <w:lang w:val="en-US" w:eastAsia="ja-JP"/>
        </w:rPr>
        <w:t xml:space="preserve"> </w:t>
      </w:r>
      <w:r w:rsidR="00843F4F">
        <w:rPr>
          <w:rFonts w:cs="Arial"/>
          <w:b/>
          <w:sz w:val="24"/>
          <w:lang w:val="en-US" w:eastAsia="ja-JP"/>
        </w:rPr>
        <w:t>of</w:t>
      </w:r>
      <w:r w:rsidR="00895096">
        <w:rPr>
          <w:rFonts w:cs="Arial"/>
          <w:b/>
          <w:sz w:val="24"/>
          <w:lang w:val="en-US" w:eastAsia="ja-JP"/>
        </w:rPr>
        <w:t xml:space="preserve"> </w:t>
      </w:r>
      <w:r w:rsidR="00BB1C99">
        <w:rPr>
          <w:rFonts w:cs="Arial"/>
          <w:b/>
          <w:sz w:val="24"/>
          <w:lang w:val="en-US" w:eastAsia="ja-JP"/>
        </w:rPr>
        <w:t>NB-PRA</w:t>
      </w:r>
      <w:r w:rsidR="00642468">
        <w:rPr>
          <w:rFonts w:cs="Arial"/>
          <w:b/>
          <w:sz w:val="24"/>
          <w:lang w:val="en-US" w:eastAsia="ja-JP"/>
        </w:rPr>
        <w:t>CH</w:t>
      </w:r>
      <w:r w:rsidR="00895096">
        <w:rPr>
          <w:rFonts w:cs="Arial"/>
          <w:b/>
          <w:sz w:val="24"/>
          <w:lang w:val="en-US" w:eastAsia="ja-JP"/>
        </w:rPr>
        <w:t xml:space="preserve"> </w:t>
      </w:r>
    </w:p>
    <w:p w14:paraId="03EDDC76" w14:textId="77777777" w:rsidR="00BD21BC" w:rsidRPr="00B24337" w:rsidRDefault="00BD21BC" w:rsidP="00BD21BC">
      <w:pPr>
        <w:keepNext/>
        <w:tabs>
          <w:tab w:val="left" w:pos="2552"/>
        </w:tabs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Document for:        </w:t>
      </w:r>
      <w:r w:rsidRPr="00B24337">
        <w:rPr>
          <w:rFonts w:cs="Arial"/>
          <w:b/>
          <w:sz w:val="24"/>
          <w:lang w:val="en-US" w:eastAsia="ja-JP"/>
        </w:rPr>
        <w:tab/>
        <w:t>Discussion and decision</w:t>
      </w:r>
    </w:p>
    <w:p w14:paraId="130780DC" w14:textId="61EBCDF7" w:rsidR="00A675B4" w:rsidRPr="00DF438D" w:rsidRDefault="00BD21BC" w:rsidP="00BD21BC">
      <w:pPr>
        <w:keepNext/>
        <w:tabs>
          <w:tab w:val="left" w:pos="2552"/>
        </w:tabs>
        <w:rPr>
          <w:lang w:val="en-US"/>
        </w:rPr>
      </w:pPr>
      <w:r w:rsidRPr="00A518F6">
        <w:rPr>
          <w:rFonts w:cs="Arial"/>
          <w:b/>
          <w:sz w:val="24"/>
          <w:lang w:val="en-US"/>
        </w:rPr>
        <w:t xml:space="preserve">Agenda Item:         </w:t>
      </w:r>
      <w:r w:rsidRPr="00A518F6">
        <w:rPr>
          <w:rFonts w:cs="Arial"/>
          <w:b/>
          <w:sz w:val="24"/>
          <w:lang w:val="en-US"/>
        </w:rPr>
        <w:tab/>
      </w:r>
      <w:r w:rsidR="005F3B38" w:rsidRPr="00A518F6">
        <w:rPr>
          <w:rFonts w:cs="Arial"/>
          <w:b/>
          <w:sz w:val="24"/>
          <w:lang w:val="en-US"/>
        </w:rPr>
        <w:t>2.1.2</w:t>
      </w:r>
      <w:r w:rsidR="00554EA5" w:rsidRPr="00A518F6">
        <w:rPr>
          <w:rFonts w:cs="Arial"/>
          <w:b/>
          <w:sz w:val="24"/>
          <w:lang w:val="en-US"/>
        </w:rPr>
        <w:t>.</w:t>
      </w:r>
      <w:r w:rsidR="005F3B38" w:rsidRPr="00A518F6">
        <w:rPr>
          <w:rFonts w:cs="Arial"/>
          <w:b/>
          <w:sz w:val="24"/>
          <w:lang w:val="en-US"/>
        </w:rPr>
        <w:t>2</w:t>
      </w:r>
      <w:r w:rsidRPr="00DF438D">
        <w:rPr>
          <w:rFonts w:cs="Arial"/>
          <w:b/>
          <w:sz w:val="24"/>
          <w:lang w:val="en-US"/>
        </w:rPr>
        <w:tab/>
      </w:r>
      <w:r w:rsidR="00D13E68" w:rsidRPr="00DF438D">
        <w:rPr>
          <w:lang w:val="en-US"/>
        </w:rPr>
        <w:tab/>
      </w:r>
    </w:p>
    <w:p w14:paraId="577D267A" w14:textId="77777777" w:rsidR="00683F57" w:rsidRDefault="00683F57" w:rsidP="00683F57">
      <w:pPr>
        <w:pStyle w:val="Heading1"/>
      </w:pPr>
      <w:bookmarkStart w:id="0" w:name="_Ref409106980"/>
      <w:r w:rsidRPr="00763114">
        <w:t>Introduction</w:t>
      </w:r>
      <w:bookmarkEnd w:id="0"/>
    </w:p>
    <w:p w14:paraId="16C3BD15" w14:textId="43805C54" w:rsidR="0052438A" w:rsidRPr="004B486D" w:rsidRDefault="0052438A" w:rsidP="0052438A">
      <w:pPr>
        <w:pStyle w:val="BodyText"/>
        <w:rPr>
          <w:lang w:val="en-US"/>
        </w:rPr>
      </w:pPr>
      <w:r>
        <w:rPr>
          <w:lang w:val="en-US"/>
        </w:rPr>
        <w:t>At RAN#69</w:t>
      </w:r>
      <w:r w:rsidRPr="00FE1F13">
        <w:rPr>
          <w:lang w:val="en-US"/>
        </w:rPr>
        <w:t xml:space="preserve">, a new </w:t>
      </w:r>
      <w:r>
        <w:rPr>
          <w:lang w:val="en-US"/>
        </w:rPr>
        <w:t>work item</w:t>
      </w:r>
      <w:r w:rsidRPr="00FE1F13">
        <w:rPr>
          <w:lang w:val="en-US"/>
        </w:rPr>
        <w:t xml:space="preserve"> named </w:t>
      </w:r>
      <w:proofErr w:type="spellStart"/>
      <w:r w:rsidRPr="00D9057B">
        <w:rPr>
          <w:i/>
          <w:lang w:val="en-US"/>
        </w:rPr>
        <w:t>NarrowBand</w:t>
      </w:r>
      <w:proofErr w:type="spellEnd"/>
      <w:r w:rsidRPr="00D9057B">
        <w:rPr>
          <w:i/>
          <w:lang w:val="en-US"/>
        </w:rPr>
        <w:t xml:space="preserve"> IOT (NB-</w:t>
      </w:r>
      <w:proofErr w:type="spellStart"/>
      <w:r w:rsidRPr="00D9057B">
        <w:rPr>
          <w:i/>
          <w:lang w:val="en-US"/>
        </w:rPr>
        <w:t>I</w:t>
      </w:r>
      <w:r w:rsidR="00A546B8">
        <w:rPr>
          <w:i/>
          <w:lang w:val="en-US"/>
        </w:rPr>
        <w:t>o</w:t>
      </w:r>
      <w:r w:rsidRPr="00D9057B">
        <w:rPr>
          <w:i/>
          <w:lang w:val="en-US"/>
        </w:rPr>
        <w:t>T</w:t>
      </w:r>
      <w:proofErr w:type="spellEnd"/>
      <w:r w:rsidRPr="00D9057B">
        <w:rPr>
          <w:i/>
          <w:lang w:val="en-US"/>
        </w:rPr>
        <w:t>)</w:t>
      </w:r>
      <w:r>
        <w:rPr>
          <w:lang w:val="en-US"/>
        </w:rPr>
        <w:t xml:space="preserve"> was approved, see</w:t>
      </w:r>
      <w:r w:rsidR="00594E36">
        <w:rPr>
          <w:lang w:val="en-US"/>
        </w:rPr>
        <w:t xml:space="preserve"> </w:t>
      </w:r>
      <w:r w:rsidR="009700FD">
        <w:rPr>
          <w:lang w:val="en-US"/>
        </w:rPr>
        <w:fldChar w:fldCharType="begin"/>
      </w:r>
      <w:r w:rsidR="009700FD">
        <w:rPr>
          <w:lang w:val="en-US"/>
        </w:rPr>
        <w:instrText xml:space="preserve"> REF _Ref433894019 \r \h </w:instrText>
      </w:r>
      <w:r w:rsidR="009700FD">
        <w:rPr>
          <w:lang w:val="en-US"/>
        </w:rPr>
      </w:r>
      <w:r w:rsidR="009700FD">
        <w:rPr>
          <w:lang w:val="en-US"/>
        </w:rPr>
        <w:fldChar w:fldCharType="separate"/>
      </w:r>
      <w:r w:rsidR="00CC2F48">
        <w:rPr>
          <w:lang w:val="en-US"/>
        </w:rPr>
        <w:t>[1]</w:t>
      </w:r>
      <w:r w:rsidR="009700FD">
        <w:rPr>
          <w:lang w:val="en-US"/>
        </w:rPr>
        <w:fldChar w:fldCharType="end"/>
      </w:r>
      <w:r w:rsidRPr="00FE1F13">
        <w:rPr>
          <w:lang w:val="en-US"/>
        </w:rPr>
        <w:t xml:space="preserve">. </w:t>
      </w:r>
      <w:r w:rsidRPr="004B486D">
        <w:rPr>
          <w:lang w:val="en-US"/>
        </w:rPr>
        <w:t>The objective is to specify a radio access for cellu</w:t>
      </w:r>
      <w:r>
        <w:rPr>
          <w:lang w:val="en-US"/>
        </w:rPr>
        <w:t xml:space="preserve">lar internet of things </w:t>
      </w:r>
      <w:r w:rsidRPr="004B486D">
        <w:rPr>
          <w:lang w:val="en-US"/>
        </w:rPr>
        <w:t>that addresses improved indoor coverage, support for massive number of low throughput devices, low delay sensitivity, ultra-low device cost, low device power consumption and (op</w:t>
      </w:r>
      <w:r>
        <w:rPr>
          <w:lang w:val="en-US"/>
        </w:rPr>
        <w:t xml:space="preserve">timized) network architecture. </w:t>
      </w:r>
      <w:r w:rsidR="00C937D7">
        <w:rPr>
          <w:lang w:val="en-US"/>
        </w:rPr>
        <w:t xml:space="preserve">At RAN#70, a revised work item description was approved, see </w:t>
      </w:r>
      <w:r w:rsidR="00C937D7" w:rsidRPr="00300AC8">
        <w:rPr>
          <w:lang w:val="en-US"/>
        </w:rPr>
        <w:t>[2].</w:t>
      </w:r>
    </w:p>
    <w:p w14:paraId="6E398E9D" w14:textId="77777777" w:rsidR="0052438A" w:rsidRPr="004B486D" w:rsidRDefault="0052438A" w:rsidP="0052438A">
      <w:pPr>
        <w:pStyle w:val="BodyText"/>
        <w:rPr>
          <w:lang w:val="en-US"/>
        </w:rPr>
      </w:pPr>
      <w:r w:rsidRPr="004B486D">
        <w:rPr>
          <w:lang w:val="en-US"/>
        </w:rPr>
        <w:t xml:space="preserve">NB-IOT should support 3 different modes of operation: </w:t>
      </w:r>
    </w:p>
    <w:p w14:paraId="312121E2" w14:textId="576A95F7" w:rsidR="0052438A" w:rsidRPr="004B486D" w:rsidRDefault="0052438A" w:rsidP="0052438A">
      <w:pPr>
        <w:pStyle w:val="BodyText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“</w:t>
      </w:r>
      <w:r w:rsidRPr="004B486D">
        <w:rPr>
          <w:lang w:val="en-US"/>
        </w:rPr>
        <w:t>Stand-alon</w:t>
      </w:r>
      <w:r>
        <w:rPr>
          <w:lang w:val="en-US"/>
        </w:rPr>
        <w:t>e operation”</w:t>
      </w:r>
      <w:r w:rsidRPr="004B486D">
        <w:rPr>
          <w:lang w:val="en-US"/>
        </w:rPr>
        <w:t xml:space="preserve"> utilizing for example the spectrum currently being used by GERAN systems as a replacement of one or more GSM carriers</w:t>
      </w:r>
      <w:r w:rsidR="006D4D90">
        <w:t xml:space="preserve">, as well as scattered spectrum for potential </w:t>
      </w:r>
      <w:proofErr w:type="spellStart"/>
      <w:r w:rsidR="006D4D90">
        <w:t>IoT</w:t>
      </w:r>
      <w:proofErr w:type="spellEnd"/>
      <w:r w:rsidR="006D4D90">
        <w:t xml:space="preserve"> deployment.</w:t>
      </w:r>
    </w:p>
    <w:p w14:paraId="5F1DB6E3" w14:textId="77777777" w:rsidR="0052438A" w:rsidRPr="004B486D" w:rsidRDefault="0052438A" w:rsidP="0052438A">
      <w:pPr>
        <w:pStyle w:val="BodyText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“Guard band operation”</w:t>
      </w:r>
      <w:r w:rsidRPr="004B486D">
        <w:rPr>
          <w:lang w:val="en-US"/>
        </w:rPr>
        <w:t xml:space="preserve"> utilizing the unused resource blocks within a LTE carrier’s guard-band </w:t>
      </w:r>
    </w:p>
    <w:p w14:paraId="11FE0FDD" w14:textId="77777777" w:rsidR="0052438A" w:rsidRDefault="0052438A" w:rsidP="0052438A">
      <w:pPr>
        <w:pStyle w:val="BodyText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“In-band operation”</w:t>
      </w:r>
      <w:r w:rsidRPr="004B486D">
        <w:rPr>
          <w:lang w:val="en-US"/>
        </w:rPr>
        <w:t xml:space="preserve"> utilizing resource blocks within a normal LTE carrier</w:t>
      </w:r>
    </w:p>
    <w:p w14:paraId="7F121159" w14:textId="3D6FDCC3" w:rsidR="009B6DFA" w:rsidRPr="009B6DFA" w:rsidRDefault="006D4D90" w:rsidP="009B6DFA">
      <w:pPr>
        <w:ind w:right="-99"/>
        <w:rPr>
          <w:bCs/>
        </w:rPr>
      </w:pPr>
      <w:r>
        <w:rPr>
          <w:bCs/>
        </w:rPr>
        <w:t>NB-</w:t>
      </w:r>
      <w:proofErr w:type="spellStart"/>
      <w:r>
        <w:rPr>
          <w:bCs/>
        </w:rPr>
        <w:t>IoT</w:t>
      </w:r>
      <w:proofErr w:type="spellEnd"/>
      <w:r>
        <w:rPr>
          <w:bCs/>
        </w:rPr>
        <w:t xml:space="preserve"> will support 180 kHz UE RF bandwidt</w:t>
      </w:r>
      <w:r w:rsidR="009C754D">
        <w:rPr>
          <w:bCs/>
        </w:rPr>
        <w:t>h for both downlink and uplink.</w:t>
      </w:r>
      <w:r w:rsidR="009B6DFA">
        <w:rPr>
          <w:bCs/>
        </w:rPr>
        <w:t xml:space="preserve"> </w:t>
      </w:r>
      <w:r w:rsidR="009B6DFA" w:rsidRPr="009B6DFA">
        <w:rPr>
          <w:bCs/>
        </w:rPr>
        <w:t xml:space="preserve">For the uplink: </w:t>
      </w:r>
    </w:p>
    <w:p w14:paraId="73307BE4" w14:textId="77777777" w:rsidR="009B6DFA" w:rsidRPr="009B6DFA" w:rsidRDefault="009B6DFA" w:rsidP="009B6DFA">
      <w:pPr>
        <w:ind w:left="720" w:right="-99"/>
        <w:rPr>
          <w:bCs/>
        </w:rPr>
      </w:pPr>
      <w:proofErr w:type="gramStart"/>
      <w:r w:rsidRPr="009B6DFA">
        <w:rPr>
          <w:bCs/>
        </w:rPr>
        <w:t>o</w:t>
      </w:r>
      <w:proofErr w:type="gramEnd"/>
      <w:r w:rsidRPr="009B6DFA">
        <w:rPr>
          <w:bCs/>
        </w:rPr>
        <w:tab/>
        <w:t xml:space="preserve">Single tone transmissions are supported. Two numerologies should be configurable by the network for single-tone transmission: 3.75 kHz and 15 kHz. A cyclic prefix is inserted. Frequency domain </w:t>
      </w:r>
      <w:proofErr w:type="spellStart"/>
      <w:r w:rsidRPr="009B6DFA">
        <w:rPr>
          <w:bCs/>
        </w:rPr>
        <w:t>sinc</w:t>
      </w:r>
      <w:proofErr w:type="spellEnd"/>
      <w:r w:rsidRPr="009B6DFA">
        <w:rPr>
          <w:bCs/>
        </w:rPr>
        <w:t xml:space="preserve"> pulse-shaping in the physical layer description.</w:t>
      </w:r>
    </w:p>
    <w:p w14:paraId="260DBDB6" w14:textId="77777777" w:rsidR="009B6DFA" w:rsidRPr="009B6DFA" w:rsidRDefault="009B6DFA" w:rsidP="009B6DFA">
      <w:pPr>
        <w:ind w:left="720" w:right="-99"/>
        <w:rPr>
          <w:bCs/>
        </w:rPr>
      </w:pPr>
      <w:r w:rsidRPr="009B6DFA">
        <w:rPr>
          <w:bCs/>
        </w:rPr>
        <w:t>o</w:t>
      </w:r>
      <w:r w:rsidRPr="009B6DFA">
        <w:rPr>
          <w:bCs/>
        </w:rPr>
        <w:tab/>
        <w:t>Multi-tone transmissions are supported, based on SC-FDMA with 15 kHz UL subcarrier spacing.</w:t>
      </w:r>
    </w:p>
    <w:p w14:paraId="7833A789" w14:textId="77777777" w:rsidR="009B6DFA" w:rsidRPr="009B6DFA" w:rsidRDefault="009B6DFA" w:rsidP="009B6DFA">
      <w:pPr>
        <w:ind w:left="720" w:right="-99"/>
        <w:rPr>
          <w:bCs/>
        </w:rPr>
      </w:pPr>
      <w:r w:rsidRPr="009B6DFA">
        <w:rPr>
          <w:bCs/>
        </w:rPr>
        <w:t>o</w:t>
      </w:r>
      <w:r w:rsidRPr="009B6DFA">
        <w:rPr>
          <w:bCs/>
        </w:rPr>
        <w:tab/>
        <w:t>FFS: Additional mechanisms for PAPR reduction.</w:t>
      </w:r>
    </w:p>
    <w:p w14:paraId="5A1AD659" w14:textId="70AF2A5A" w:rsidR="009C754D" w:rsidRDefault="009B6DFA" w:rsidP="009B6DFA">
      <w:pPr>
        <w:ind w:left="720" w:right="-99"/>
        <w:rPr>
          <w:bCs/>
        </w:rPr>
      </w:pPr>
      <w:r w:rsidRPr="009B6DFA">
        <w:rPr>
          <w:bCs/>
        </w:rPr>
        <w:t>o</w:t>
      </w:r>
      <w:r w:rsidRPr="009B6DFA">
        <w:rPr>
          <w:bCs/>
        </w:rPr>
        <w:tab/>
        <w:t>The UE shall indicate the support single-tone and/or multi-tone, details to be discussed by RAN WGs</w:t>
      </w:r>
    </w:p>
    <w:p w14:paraId="0506EFD6" w14:textId="4A60422F" w:rsidR="000747E2" w:rsidRDefault="009B6DFA" w:rsidP="006D4D90">
      <w:pPr>
        <w:ind w:right="-99"/>
        <w:rPr>
          <w:bCs/>
        </w:rPr>
      </w:pPr>
      <w:r>
        <w:rPr>
          <w:bCs/>
        </w:rPr>
        <w:t xml:space="preserve">To maintain orthogonality between NB-PUSCH’s with 15 kHz subcarrier spacing, accurate timing advance for aligning the </w:t>
      </w:r>
      <w:proofErr w:type="spellStart"/>
      <w:r>
        <w:rPr>
          <w:bCs/>
        </w:rPr>
        <w:t>subframe</w:t>
      </w:r>
      <w:proofErr w:type="spellEnd"/>
      <w:r>
        <w:rPr>
          <w:bCs/>
        </w:rPr>
        <w:t xml:space="preserve"> boundary among different UEs is needed. Thus, NB-PRACH has to be designed accordingly. In [3], </w:t>
      </w:r>
      <w:r w:rsidR="000747E2">
        <w:rPr>
          <w:bCs/>
        </w:rPr>
        <w:t>a NB-PRACH design is shown to be able to support 15 kHz subcarrier spacing for NB-PUSCH. One remaining open issue is the near-far performance of such a NB-PRACH design. This is analysed in this contribution.</w:t>
      </w:r>
    </w:p>
    <w:p w14:paraId="79253394" w14:textId="6F3C4D8F" w:rsidR="00D86EBF" w:rsidRPr="00FE1F13" w:rsidRDefault="00D86EBF" w:rsidP="00D86EBF">
      <w:pPr>
        <w:pStyle w:val="Heading1"/>
        <w:numPr>
          <w:ilvl w:val="0"/>
          <w:numId w:val="3"/>
        </w:numPr>
        <w:rPr>
          <w:lang w:val="en-US"/>
        </w:rPr>
      </w:pPr>
      <w:r>
        <w:rPr>
          <w:lang w:val="en-US"/>
        </w:rPr>
        <w:t>NB-PRACH preamble formats</w:t>
      </w:r>
    </w:p>
    <w:p w14:paraId="2338B8F1" w14:textId="2252A90F" w:rsidR="00D86EBF" w:rsidRDefault="00D86EBF" w:rsidP="00D86EBF">
      <w:pPr>
        <w:pStyle w:val="BodyText"/>
        <w:rPr>
          <w:color w:val="000000"/>
          <w:lang w:val="en-US"/>
        </w:rPr>
      </w:pPr>
      <w:r>
        <w:rPr>
          <w:color w:val="000000"/>
          <w:lang w:val="en-US"/>
        </w:rPr>
        <w:t>According to [3], there are three different NB-PRACH formats, each targeting</w:t>
      </w:r>
      <w:r w:rsidR="009020BA">
        <w:rPr>
          <w:color w:val="000000"/>
          <w:lang w:val="en-US"/>
        </w:rPr>
        <w:t xml:space="preserve"> at</w:t>
      </w:r>
      <w:r>
        <w:rPr>
          <w:color w:val="000000"/>
          <w:lang w:val="en-US"/>
        </w:rPr>
        <w:t xml:space="preserve"> a</w:t>
      </w:r>
      <w:r w:rsidR="009020BA">
        <w:rPr>
          <w:color w:val="000000"/>
          <w:lang w:val="en-US"/>
        </w:rPr>
        <w:t xml:space="preserve"> different</w:t>
      </w:r>
      <w:r>
        <w:rPr>
          <w:color w:val="000000"/>
          <w:lang w:val="en-US"/>
        </w:rPr>
        <w:t xml:space="preserve"> coverage class.</w:t>
      </w:r>
    </w:p>
    <w:p w14:paraId="521BB8E9" w14:textId="181CCEAD" w:rsidR="00D86EBF" w:rsidRDefault="00873785" w:rsidP="00D86EBF">
      <w:pPr>
        <w:pStyle w:val="Heading2"/>
        <w:keepLines w:val="0"/>
        <w:numPr>
          <w:ilvl w:val="1"/>
          <w:numId w:val="3"/>
        </w:numPr>
        <w:overflowPunct/>
        <w:autoSpaceDE/>
        <w:autoSpaceDN/>
        <w:adjustRightInd/>
        <w:spacing w:before="120" w:after="60" w:line="276" w:lineRule="auto"/>
        <w:textAlignment w:val="auto"/>
      </w:pPr>
      <w:bookmarkStart w:id="1" w:name="_Ref430695182"/>
      <w:r>
        <w:t>NB</w:t>
      </w:r>
      <w:r w:rsidR="00D86EBF">
        <w:t>-</w:t>
      </w:r>
      <w:r w:rsidR="00D86EBF" w:rsidRPr="00E330BC">
        <w:t>PRACH Formats</w:t>
      </w:r>
      <w:bookmarkEnd w:id="1"/>
      <w:r w:rsidR="00D86EBF">
        <w:t xml:space="preserve"> 0 and 1</w:t>
      </w:r>
    </w:p>
    <w:p w14:paraId="0C91A7CD" w14:textId="54DF4510" w:rsidR="00D86EBF" w:rsidRDefault="00873785" w:rsidP="00D86EBF">
      <w:pPr>
        <w:pStyle w:val="BodyText"/>
        <w:rPr>
          <w:lang w:val="en-US" w:eastAsia="ko-KR"/>
        </w:rPr>
      </w:pPr>
      <w:r>
        <w:rPr>
          <w:lang w:val="en-US" w:eastAsia="ko-KR"/>
        </w:rPr>
        <w:t>NB-</w:t>
      </w:r>
      <w:r w:rsidR="00D86EBF">
        <w:rPr>
          <w:lang w:val="en-US" w:eastAsia="ko-KR"/>
        </w:rPr>
        <w:t xml:space="preserve">PRACH preamble Formats 0 and 1 are based on </w:t>
      </w:r>
      <w:r w:rsidR="00D86EBF" w:rsidRPr="00FE1F13">
        <w:rPr>
          <w:lang w:val="en-US" w:eastAsia="ko-KR"/>
        </w:rPr>
        <w:t>length-</w:t>
      </w:r>
      <w:r w:rsidR="00D86EBF">
        <w:rPr>
          <w:lang w:val="en-US" w:eastAsia="ko-KR"/>
        </w:rPr>
        <w:t>251</w:t>
      </w:r>
      <w:r w:rsidR="00D86EBF" w:rsidRPr="00FE1F13">
        <w:rPr>
          <w:lang w:val="en-US" w:eastAsia="ko-KR"/>
        </w:rPr>
        <w:t xml:space="preserve"> Zadoff-Ch</w:t>
      </w:r>
      <w:r w:rsidR="00D86EBF">
        <w:rPr>
          <w:lang w:val="en-US" w:eastAsia="ko-KR"/>
        </w:rPr>
        <w:t xml:space="preserve">u sequences with </w:t>
      </w:r>
      <w:r w:rsidR="00D86EBF" w:rsidRPr="00FE1F13">
        <w:rPr>
          <w:lang w:val="en-US" w:eastAsia="ko-KR"/>
        </w:rPr>
        <w:t>312.5 Hz subcarrier spacing</w:t>
      </w:r>
      <w:r w:rsidR="00D86EBF">
        <w:rPr>
          <w:lang w:val="en-US" w:eastAsia="ko-KR"/>
        </w:rPr>
        <w:t>, resulting in</w:t>
      </w:r>
      <w:r w:rsidR="009020BA">
        <w:rPr>
          <w:lang w:val="en-US" w:eastAsia="ko-KR"/>
        </w:rPr>
        <w:t xml:space="preserve"> about</w:t>
      </w:r>
      <w:r w:rsidR="00D86EBF">
        <w:rPr>
          <w:lang w:val="en-US" w:eastAsia="ko-KR"/>
        </w:rPr>
        <w:t xml:space="preserve"> 8</w:t>
      </w:r>
      <w:r w:rsidR="00D86EBF" w:rsidRPr="00FE1F13">
        <w:rPr>
          <w:lang w:val="en-US" w:eastAsia="ko-KR"/>
        </w:rPr>
        <w:t xml:space="preserve">0 kHz </w:t>
      </w:r>
      <w:r>
        <w:rPr>
          <w:lang w:val="en-US" w:eastAsia="ko-KR"/>
        </w:rPr>
        <w:t>NB-</w:t>
      </w:r>
      <w:r w:rsidR="00D86EBF">
        <w:rPr>
          <w:lang w:val="en-US" w:eastAsia="ko-KR"/>
        </w:rPr>
        <w:t>PRACH</w:t>
      </w:r>
      <w:r w:rsidR="00D86EBF" w:rsidRPr="00FE1F13">
        <w:rPr>
          <w:lang w:val="en-US" w:eastAsia="ko-KR"/>
        </w:rPr>
        <w:t xml:space="preserve"> ban</w:t>
      </w:r>
      <w:r w:rsidR="00D86EBF">
        <w:rPr>
          <w:lang w:val="en-US" w:eastAsia="ko-KR"/>
        </w:rPr>
        <w:t xml:space="preserve">dwidth. Most of the UEs in the system use these two types of </w:t>
      </w:r>
      <w:r>
        <w:rPr>
          <w:lang w:val="en-US" w:eastAsia="ko-KR"/>
        </w:rPr>
        <w:t>NB-</w:t>
      </w:r>
      <w:r w:rsidR="00D86EBF">
        <w:rPr>
          <w:lang w:val="en-US" w:eastAsia="ko-KR"/>
        </w:rPr>
        <w:t xml:space="preserve">PRACH preambles. The basic symbol duration of </w:t>
      </w:r>
      <w:r w:rsidR="0067313E">
        <w:rPr>
          <w:lang w:val="en-US" w:eastAsia="ko-KR"/>
        </w:rPr>
        <w:t xml:space="preserve">a </w:t>
      </w:r>
      <w:r>
        <w:rPr>
          <w:lang w:val="en-US" w:eastAsia="ko-KR"/>
        </w:rPr>
        <w:t>NB-</w:t>
      </w:r>
      <w:r w:rsidR="00D86EBF">
        <w:rPr>
          <w:lang w:val="en-US" w:eastAsia="ko-KR"/>
        </w:rPr>
        <w:t>PRACH preamble</w:t>
      </w:r>
      <w:r w:rsidR="0067313E">
        <w:rPr>
          <w:lang w:val="en-US" w:eastAsia="ko-KR"/>
        </w:rPr>
        <w:t xml:space="preserve"> of either</w:t>
      </w:r>
      <w:r w:rsidR="00D86EBF">
        <w:rPr>
          <w:lang w:val="en-US" w:eastAsia="ko-KR"/>
        </w:rPr>
        <w:t xml:space="preserve"> Format 0 </w:t>
      </w:r>
      <w:r w:rsidR="0067313E">
        <w:rPr>
          <w:lang w:val="en-US" w:eastAsia="ko-KR"/>
        </w:rPr>
        <w:t>or</w:t>
      </w:r>
      <w:r w:rsidR="00D86EBF">
        <w:rPr>
          <w:lang w:val="en-US" w:eastAsia="ko-KR"/>
        </w:rPr>
        <w:t xml:space="preserve"> 1 is 3.2 </w:t>
      </w:r>
      <w:proofErr w:type="spellStart"/>
      <w:r w:rsidR="00D86EBF">
        <w:rPr>
          <w:lang w:val="en-US" w:eastAsia="ko-KR"/>
        </w:rPr>
        <w:t>ms.</w:t>
      </w:r>
      <w:proofErr w:type="spellEnd"/>
      <w:r w:rsidR="00D86EBF">
        <w:rPr>
          <w:lang w:val="en-US" w:eastAsia="ko-KR"/>
        </w:rPr>
        <w:t xml:space="preserve"> A </w:t>
      </w:r>
      <w:r w:rsidR="00D86EBF" w:rsidRPr="00F94A58">
        <w:rPr>
          <w:lang w:val="en-US" w:eastAsia="ko-KR"/>
        </w:rPr>
        <w:t xml:space="preserve">4 </w:t>
      </w:r>
      <w:proofErr w:type="spellStart"/>
      <w:r w:rsidR="00D86EBF" w:rsidRPr="00F94A58">
        <w:rPr>
          <w:lang w:val="en-US" w:eastAsia="ko-KR"/>
        </w:rPr>
        <w:t>ms</w:t>
      </w:r>
      <w:proofErr w:type="spellEnd"/>
      <w:r w:rsidR="00D86EBF" w:rsidRPr="00F94A58">
        <w:rPr>
          <w:lang w:val="en-US" w:eastAsia="ko-KR"/>
        </w:rPr>
        <w:t xml:space="preserve"> </w:t>
      </w:r>
      <w:r w:rsidR="00D86EBF">
        <w:rPr>
          <w:lang w:val="en-US" w:eastAsia="ko-KR"/>
        </w:rPr>
        <w:t xml:space="preserve">segment is defined </w:t>
      </w:r>
      <w:r w:rsidR="00D86EBF" w:rsidRPr="00F94A58">
        <w:rPr>
          <w:lang w:val="en-US" w:eastAsia="ko-KR"/>
        </w:rPr>
        <w:t>as a basic random acce</w:t>
      </w:r>
      <w:r w:rsidR="00D86EBF">
        <w:rPr>
          <w:lang w:val="en-US" w:eastAsia="ko-KR"/>
        </w:rPr>
        <w:t xml:space="preserve">ss segment, giving rise to </w:t>
      </w:r>
      <w:r w:rsidR="00D86EBF" w:rsidRPr="00F94A58">
        <w:rPr>
          <w:lang w:val="en-US" w:eastAsia="ko-KR"/>
        </w:rPr>
        <w:t xml:space="preserve">0.8 </w:t>
      </w:r>
      <w:proofErr w:type="spellStart"/>
      <w:r w:rsidR="00D86EBF" w:rsidRPr="00F94A58">
        <w:rPr>
          <w:lang w:val="en-US" w:eastAsia="ko-KR"/>
        </w:rPr>
        <w:t>ms</w:t>
      </w:r>
      <w:proofErr w:type="spellEnd"/>
      <w:r w:rsidR="00D86EBF" w:rsidRPr="00F94A58">
        <w:rPr>
          <w:lang w:val="en-US" w:eastAsia="ko-KR"/>
        </w:rPr>
        <w:t xml:space="preserve"> resources remaining for cyclic prefix (CP) and guard time (GT). To maximize </w:t>
      </w:r>
      <w:r w:rsidR="00D86EBF">
        <w:rPr>
          <w:lang w:val="en-US" w:eastAsia="ko-KR"/>
        </w:rPr>
        <w:t>cell size</w:t>
      </w:r>
      <w:r w:rsidR="00D86EBF" w:rsidRPr="00F94A58">
        <w:rPr>
          <w:lang w:val="en-US" w:eastAsia="ko-KR"/>
        </w:rPr>
        <w:t xml:space="preserve">, the CP is dimensioned to be 0.4 </w:t>
      </w:r>
      <w:proofErr w:type="spellStart"/>
      <w:r w:rsidR="00D86EBF" w:rsidRPr="00F94A58">
        <w:rPr>
          <w:lang w:val="en-US" w:eastAsia="ko-KR"/>
        </w:rPr>
        <w:t>ms</w:t>
      </w:r>
      <w:proofErr w:type="spellEnd"/>
      <w:r w:rsidR="00D86EBF">
        <w:rPr>
          <w:lang w:val="en-US" w:eastAsia="ko-KR"/>
        </w:rPr>
        <w:t xml:space="preserve">, which supports </w:t>
      </w:r>
      <w:r w:rsidR="00D86EBF" w:rsidRPr="00F94A58">
        <w:rPr>
          <w:lang w:val="en-US" w:eastAsia="ko-KR"/>
        </w:rPr>
        <w:t>cell sizes up to 60 km</w:t>
      </w:r>
      <w:r w:rsidR="00D86EBF">
        <w:rPr>
          <w:lang w:val="en-US" w:eastAsia="ko-KR"/>
        </w:rPr>
        <w:t xml:space="preserve">. </w:t>
      </w:r>
      <w:r w:rsidR="00D86EBF">
        <w:rPr>
          <w:lang w:val="en-US" w:eastAsia="ko-KR"/>
        </w:rPr>
        <w:fldChar w:fldCharType="begin"/>
      </w:r>
      <w:r w:rsidR="00D86EBF">
        <w:rPr>
          <w:lang w:val="en-US" w:eastAsia="ko-KR"/>
        </w:rPr>
        <w:instrText xml:space="preserve"> REF _Ref430953661 \h </w:instrText>
      </w:r>
      <w:r w:rsidR="00D86EBF">
        <w:rPr>
          <w:lang w:val="en-US" w:eastAsia="ko-KR"/>
        </w:rPr>
      </w:r>
      <w:r w:rsidR="00D86EBF">
        <w:rPr>
          <w:lang w:val="en-US" w:eastAsia="ko-KR"/>
        </w:rPr>
        <w:fldChar w:fldCharType="separate"/>
      </w:r>
      <w:r w:rsidR="00CC2F48">
        <w:t xml:space="preserve">Figure </w:t>
      </w:r>
      <w:r w:rsidR="00CC2F48">
        <w:rPr>
          <w:noProof/>
        </w:rPr>
        <w:t>1</w:t>
      </w:r>
      <w:r w:rsidR="00D86EBF">
        <w:rPr>
          <w:lang w:val="en-US" w:eastAsia="ko-KR"/>
        </w:rPr>
        <w:fldChar w:fldCharType="end"/>
      </w:r>
      <w:r w:rsidR="00D86EBF">
        <w:rPr>
          <w:lang w:val="en-US" w:eastAsia="ko-KR"/>
        </w:rPr>
        <w:t xml:space="preserve"> illustrates </w:t>
      </w:r>
      <w:r>
        <w:rPr>
          <w:lang w:val="en-US" w:eastAsia="ko-KR"/>
        </w:rPr>
        <w:t>NB-</w:t>
      </w:r>
      <w:r w:rsidR="00D86EBF">
        <w:rPr>
          <w:lang w:val="en-US" w:eastAsia="ko-KR"/>
        </w:rPr>
        <w:t>PRACH CP/GT dimensioning.</w:t>
      </w:r>
    </w:p>
    <w:p w14:paraId="4ADF1F31" w14:textId="26D4ED84" w:rsidR="00D86EBF" w:rsidRDefault="00873785" w:rsidP="00D86EBF">
      <w:pPr>
        <w:pStyle w:val="BodyText"/>
        <w:rPr>
          <w:lang w:val="en-US" w:eastAsia="ko-KR"/>
        </w:rPr>
      </w:pPr>
      <w:r>
        <w:rPr>
          <w:lang w:val="en-US" w:eastAsia="ko-KR"/>
        </w:rPr>
        <w:lastRenderedPageBreak/>
        <w:t>NB-</w:t>
      </w:r>
      <w:r w:rsidR="00D86EBF">
        <w:rPr>
          <w:lang w:val="en-US" w:eastAsia="ko-KR"/>
        </w:rPr>
        <w:t xml:space="preserve">PRACH preamble </w:t>
      </w:r>
      <w:r w:rsidR="0067313E">
        <w:rPr>
          <w:lang w:val="en-US" w:eastAsia="ko-KR"/>
        </w:rPr>
        <w:t>F</w:t>
      </w:r>
      <w:r w:rsidR="00D86EBF">
        <w:rPr>
          <w:lang w:val="en-US" w:eastAsia="ko-KR"/>
        </w:rPr>
        <w:t xml:space="preserve">ormat 0 supports UE with coupling loss lower than 144 </w:t>
      </w:r>
      <w:proofErr w:type="spellStart"/>
      <w:r w:rsidR="00D86EBF">
        <w:rPr>
          <w:lang w:val="en-US" w:eastAsia="ko-KR"/>
        </w:rPr>
        <w:t>dB.</w:t>
      </w:r>
      <w:proofErr w:type="spellEnd"/>
      <w:r w:rsidR="00D86EBF">
        <w:rPr>
          <w:lang w:val="en-US" w:eastAsia="ko-KR"/>
        </w:rPr>
        <w:t xml:space="preserve"> </w:t>
      </w:r>
      <w:r>
        <w:rPr>
          <w:lang w:val="en-US" w:eastAsia="ko-KR"/>
        </w:rPr>
        <w:t>NB-</w:t>
      </w:r>
      <w:r w:rsidR="00D86EBF">
        <w:rPr>
          <w:lang w:val="en-US" w:eastAsia="ko-KR"/>
        </w:rPr>
        <w:t xml:space="preserve">PRACH preamble </w:t>
      </w:r>
      <w:r w:rsidR="0067313E">
        <w:rPr>
          <w:lang w:val="en-US" w:eastAsia="ko-KR"/>
        </w:rPr>
        <w:t>F</w:t>
      </w:r>
      <w:r w:rsidR="00D86EBF">
        <w:rPr>
          <w:lang w:val="en-US" w:eastAsia="ko-KR"/>
        </w:rPr>
        <w:t xml:space="preserve">ormat 1 supports UE with coupling loss between 144 dB and 154 </w:t>
      </w:r>
      <w:proofErr w:type="spellStart"/>
      <w:r w:rsidR="00D86EBF">
        <w:rPr>
          <w:lang w:val="en-US" w:eastAsia="ko-KR"/>
        </w:rPr>
        <w:t>dB.</w:t>
      </w:r>
      <w:proofErr w:type="spellEnd"/>
      <w:r w:rsidR="00D86EBF">
        <w:rPr>
          <w:lang w:val="en-US" w:eastAsia="ko-KR"/>
        </w:rPr>
        <w:t xml:space="preserve"> </w:t>
      </w:r>
      <w:r w:rsidR="00690785">
        <w:rPr>
          <w:lang w:val="en-US" w:eastAsia="ko-KR"/>
        </w:rPr>
        <w:t xml:space="preserve">Note that using length-251 </w:t>
      </w:r>
      <w:r w:rsidR="00690785" w:rsidRPr="00FE1F13">
        <w:rPr>
          <w:lang w:val="en-US" w:eastAsia="ko-KR"/>
        </w:rPr>
        <w:t>Zadoff-Ch</w:t>
      </w:r>
      <w:r w:rsidR="00690785">
        <w:rPr>
          <w:lang w:val="en-US" w:eastAsia="ko-KR"/>
        </w:rPr>
        <w:t xml:space="preserve">u sequences offers certain processing gain for mitigating the near-far problem. The processing gain is proportional to the length of the 251 </w:t>
      </w:r>
      <w:r w:rsidR="00690785" w:rsidRPr="00FE1F13">
        <w:rPr>
          <w:lang w:val="en-US" w:eastAsia="ko-KR"/>
        </w:rPr>
        <w:t>Zadoff-Ch</w:t>
      </w:r>
      <w:r w:rsidR="00690785">
        <w:rPr>
          <w:lang w:val="en-US" w:eastAsia="ko-KR"/>
        </w:rPr>
        <w:t>u sequences.</w:t>
      </w:r>
    </w:p>
    <w:p w14:paraId="1F6344C7" w14:textId="77777777" w:rsidR="0067313E" w:rsidRDefault="0067313E" w:rsidP="00D86EBF">
      <w:pPr>
        <w:pStyle w:val="BodyText"/>
        <w:rPr>
          <w:lang w:val="en-US" w:eastAsia="ko-KR"/>
        </w:rPr>
      </w:pPr>
    </w:p>
    <w:p w14:paraId="5FE65671" w14:textId="77777777" w:rsidR="00690785" w:rsidRDefault="00690785" w:rsidP="00D86EBF">
      <w:pPr>
        <w:pStyle w:val="BodyText"/>
        <w:rPr>
          <w:lang w:val="en-US" w:eastAsia="ko-KR"/>
        </w:rPr>
      </w:pPr>
    </w:p>
    <w:p w14:paraId="6CBC6BB9" w14:textId="77777777" w:rsidR="00D86EBF" w:rsidRDefault="00D86EBF" w:rsidP="00D86EBF">
      <w:pPr>
        <w:pStyle w:val="BodyText"/>
        <w:rPr>
          <w:lang w:val="en-US" w:eastAsia="ko-KR"/>
        </w:rPr>
      </w:pPr>
      <w:r>
        <w:rPr>
          <w:noProof/>
          <w:lang w:val="en-US" w:eastAsia="zh-TW"/>
        </w:rPr>
        <w:drawing>
          <wp:inline distT="0" distB="0" distL="0" distR="0" wp14:anchorId="1080975E" wp14:editId="303B9B30">
            <wp:extent cx="4578350" cy="269494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2694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1FD191" w14:textId="1DF47224" w:rsidR="00D86EBF" w:rsidRDefault="00D86EBF" w:rsidP="00EE289D">
      <w:pPr>
        <w:pStyle w:val="Caption"/>
      </w:pPr>
      <w:bookmarkStart w:id="2" w:name="_Ref43095366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C2F48">
        <w:rPr>
          <w:noProof/>
        </w:rPr>
        <w:t>1</w:t>
      </w:r>
      <w:r>
        <w:fldChar w:fldCharType="end"/>
      </w:r>
      <w:bookmarkEnd w:id="2"/>
      <w:r>
        <w:t xml:space="preserve">: </w:t>
      </w:r>
      <w:r w:rsidRPr="00F94A58">
        <w:t>Cyclic prefix/guard period dime</w:t>
      </w:r>
      <w:r>
        <w:t xml:space="preserve">nsioning for </w:t>
      </w:r>
      <w:r w:rsidR="00873785">
        <w:t>NB-</w:t>
      </w:r>
      <w:r>
        <w:t>PRACH F</w:t>
      </w:r>
      <w:r w:rsidRPr="00F94A58">
        <w:t>ormats 0 and 1</w:t>
      </w:r>
      <w:r>
        <w:t>.</w:t>
      </w:r>
    </w:p>
    <w:p w14:paraId="34B7973F" w14:textId="77777777" w:rsidR="00D86EBF" w:rsidRPr="00AD007E" w:rsidRDefault="00D86EBF" w:rsidP="00D86EBF"/>
    <w:p w14:paraId="02321120" w14:textId="212622AD" w:rsidR="00D86EBF" w:rsidRPr="00CF4334" w:rsidRDefault="00873785" w:rsidP="00D86EBF">
      <w:pPr>
        <w:pStyle w:val="Heading2"/>
        <w:keepLines w:val="0"/>
        <w:numPr>
          <w:ilvl w:val="1"/>
          <w:numId w:val="3"/>
        </w:numPr>
        <w:overflowPunct/>
        <w:autoSpaceDE/>
        <w:autoSpaceDN/>
        <w:adjustRightInd/>
        <w:spacing w:before="120" w:after="60" w:line="276" w:lineRule="auto"/>
        <w:textAlignment w:val="auto"/>
      </w:pPr>
      <w:r>
        <w:t>NB-</w:t>
      </w:r>
      <w:r w:rsidR="00D86EBF">
        <w:t>PRACH Format2</w:t>
      </w:r>
    </w:p>
    <w:p w14:paraId="395BC411" w14:textId="51A89F5E" w:rsidR="0053622E" w:rsidRDefault="00873785" w:rsidP="00D86EBF">
      <w:pPr>
        <w:pStyle w:val="BodyText"/>
        <w:rPr>
          <w:lang w:val="en-US" w:eastAsia="ko-KR"/>
        </w:rPr>
      </w:pPr>
      <w:r>
        <w:rPr>
          <w:lang w:val="en-US" w:eastAsia="ko-KR"/>
        </w:rPr>
        <w:t>NB-</w:t>
      </w:r>
      <w:r w:rsidR="00D86EBF">
        <w:rPr>
          <w:lang w:val="en-US" w:eastAsia="ko-KR"/>
        </w:rPr>
        <w:t xml:space="preserve">PRACH preamble Format 2 is used by UEs in extremely coverage limited locations. These preambles are constant-envelope signals, which avoid the needs for PA </w:t>
      </w:r>
      <w:proofErr w:type="spellStart"/>
      <w:r w:rsidR="00D86EBF">
        <w:rPr>
          <w:lang w:val="en-US" w:eastAsia="ko-KR"/>
        </w:rPr>
        <w:t>backoff</w:t>
      </w:r>
      <w:proofErr w:type="spellEnd"/>
      <w:r w:rsidR="00D86EBF">
        <w:rPr>
          <w:lang w:val="en-US" w:eastAsia="ko-KR"/>
        </w:rPr>
        <w:t>, and thus aiming at maximizing the coverage. The design is shown in Figure 3</w:t>
      </w:r>
      <w:r w:rsidR="00D86EBF" w:rsidRPr="005B2CC1">
        <w:rPr>
          <w:lang w:val="en-US" w:eastAsia="ko-KR"/>
        </w:rPr>
        <w:t xml:space="preserve">. The preamble consists of 100 symbols in time and occupies one </w:t>
      </w:r>
      <w:r w:rsidR="00D86EBF">
        <w:rPr>
          <w:lang w:val="en-US" w:eastAsia="ko-KR"/>
        </w:rPr>
        <w:t>2.5 kHz subcarrier</w:t>
      </w:r>
      <w:r w:rsidR="00D86EBF" w:rsidRPr="005B2CC1">
        <w:rPr>
          <w:lang w:val="en-US" w:eastAsia="ko-KR"/>
        </w:rPr>
        <w:t xml:space="preserve"> in frequency. The transmission</w:t>
      </w:r>
      <w:r w:rsidR="00D86EBF">
        <w:rPr>
          <w:lang w:val="en-US" w:eastAsia="ko-KR"/>
        </w:rPr>
        <w:t xml:space="preserve">, </w:t>
      </w:r>
      <w:r w:rsidR="00D86EBF" w:rsidRPr="005B2CC1">
        <w:rPr>
          <w:lang w:val="en-US" w:eastAsia="ko-KR"/>
        </w:rPr>
        <w:t>however</w:t>
      </w:r>
      <w:r w:rsidR="00D86EBF">
        <w:rPr>
          <w:lang w:val="en-US" w:eastAsia="ko-KR"/>
        </w:rPr>
        <w:t>,</w:t>
      </w:r>
      <w:r w:rsidR="00D86EBF" w:rsidRPr="005B2CC1">
        <w:rPr>
          <w:lang w:val="en-US" w:eastAsia="ko-KR"/>
        </w:rPr>
        <w:t xml:space="preserve"> </w:t>
      </w:r>
      <w:r w:rsidR="00D86EBF">
        <w:rPr>
          <w:lang w:val="en-US" w:eastAsia="ko-KR"/>
        </w:rPr>
        <w:t>alternates</w:t>
      </w:r>
      <w:r w:rsidR="00D86EBF" w:rsidRPr="005B2CC1">
        <w:rPr>
          <w:lang w:val="en-US" w:eastAsia="ko-KR"/>
        </w:rPr>
        <w:t xml:space="preserve"> between two adjacent tones from symbol to symbol. The </w:t>
      </w:r>
      <w:r w:rsidR="00D86EBF">
        <w:rPr>
          <w:lang w:val="en-US" w:eastAsia="ko-KR"/>
        </w:rPr>
        <w:t>alternation</w:t>
      </w:r>
      <w:r w:rsidR="00D86EBF" w:rsidRPr="005B2CC1">
        <w:rPr>
          <w:lang w:val="en-US" w:eastAsia="ko-KR"/>
        </w:rPr>
        <w:t xml:space="preserve"> is used to enable satisfactory time-of-arrival estimation performance at the </w:t>
      </w:r>
      <w:proofErr w:type="spellStart"/>
      <w:r w:rsidR="0053622E">
        <w:rPr>
          <w:lang w:val="en-US" w:eastAsia="ko-KR"/>
        </w:rPr>
        <w:t>eNB</w:t>
      </w:r>
      <w:proofErr w:type="spellEnd"/>
      <w:r w:rsidR="00D86EBF" w:rsidRPr="005B2CC1">
        <w:rPr>
          <w:lang w:val="en-US" w:eastAsia="ko-KR"/>
        </w:rPr>
        <w:t>.</w:t>
      </w:r>
      <w:r w:rsidR="00D86EBF">
        <w:rPr>
          <w:lang w:val="en-US" w:eastAsia="ko-KR"/>
        </w:rPr>
        <w:t xml:space="preserve"> </w:t>
      </w:r>
      <w:r>
        <w:rPr>
          <w:lang w:val="en-US" w:eastAsia="ko-KR"/>
        </w:rPr>
        <w:t>NB-</w:t>
      </w:r>
      <w:r w:rsidR="00D86EBF">
        <w:rPr>
          <w:lang w:val="en-US" w:eastAsia="ko-KR"/>
        </w:rPr>
        <w:t xml:space="preserve">PRACH preamble </w:t>
      </w:r>
      <w:r w:rsidR="004D54F5">
        <w:rPr>
          <w:lang w:val="en-US" w:eastAsia="ko-KR"/>
        </w:rPr>
        <w:t>F</w:t>
      </w:r>
      <w:r w:rsidR="00D86EBF">
        <w:rPr>
          <w:lang w:val="en-US" w:eastAsia="ko-KR"/>
        </w:rPr>
        <w:t>ormat 2 supports UE with coupling loss higher than</w:t>
      </w:r>
      <w:r w:rsidR="0053622E">
        <w:rPr>
          <w:lang w:val="en-US" w:eastAsia="ko-KR"/>
        </w:rPr>
        <w:t xml:space="preserve"> 154 </w:t>
      </w:r>
      <w:proofErr w:type="spellStart"/>
      <w:r w:rsidR="0053622E">
        <w:rPr>
          <w:lang w:val="en-US" w:eastAsia="ko-KR"/>
        </w:rPr>
        <w:t>dB.</w:t>
      </w:r>
      <w:proofErr w:type="spellEnd"/>
    </w:p>
    <w:p w14:paraId="6730BDFB" w14:textId="107D8616" w:rsidR="00D86EBF" w:rsidRDefault="00D86EBF" w:rsidP="00D86EBF">
      <w:pPr>
        <w:pStyle w:val="BodyText"/>
        <w:rPr>
          <w:lang w:val="en-US" w:eastAsia="ko-KR"/>
        </w:rPr>
      </w:pPr>
      <w:r>
        <w:rPr>
          <w:noProof/>
          <w:lang w:val="en-US" w:eastAsia="zh-TW"/>
        </w:rPr>
        <w:drawing>
          <wp:inline distT="0" distB="0" distL="0" distR="0" wp14:anchorId="0F7D775C" wp14:editId="5B58BC18">
            <wp:extent cx="5250180" cy="1626870"/>
            <wp:effectExtent l="0" t="0" r="762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1626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ABE528" w14:textId="7CF507BD" w:rsidR="000E334E" w:rsidRPr="0053622E" w:rsidRDefault="00D86EBF" w:rsidP="0053622E">
      <w:pPr>
        <w:pStyle w:val="Caption"/>
        <w:rPr>
          <w:noProof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C2F48">
        <w:rPr>
          <w:noProof/>
        </w:rPr>
        <w:t>2</w:t>
      </w:r>
      <w:r>
        <w:fldChar w:fldCharType="end"/>
      </w:r>
      <w:r>
        <w:t xml:space="preserve">: </w:t>
      </w:r>
      <w:r w:rsidR="00873785">
        <w:t>NB-</w:t>
      </w:r>
      <w:r>
        <w:rPr>
          <w:noProof/>
        </w:rPr>
        <w:t>PRACH Format 2.</w:t>
      </w:r>
    </w:p>
    <w:p w14:paraId="025E298B" w14:textId="25C1896C" w:rsidR="00970763" w:rsidRPr="00FA20DC" w:rsidRDefault="0053622E" w:rsidP="00970763">
      <w:pPr>
        <w:pStyle w:val="Heading1"/>
      </w:pPr>
      <w:r>
        <w:t>Near-far performance</w:t>
      </w:r>
    </w:p>
    <w:p w14:paraId="248335CB" w14:textId="3100B147" w:rsidR="00C63D4C" w:rsidRDefault="009E2D8A" w:rsidP="007C2E24">
      <w:r w:rsidRPr="004B7027">
        <w:t xml:space="preserve">In this section, simulation results are presented to evaluate </w:t>
      </w:r>
      <w:r>
        <w:t>the near-far performance of the NB-</w:t>
      </w:r>
      <w:r w:rsidRPr="004B7027">
        <w:t>PRACH design. The simulation assumptions used are based on the ones outlined in</w:t>
      </w:r>
      <w:r>
        <w:t xml:space="preserve"> [4]</w:t>
      </w:r>
      <w:r w:rsidRPr="004B7027">
        <w:t xml:space="preserve">, and are summarized in </w:t>
      </w:r>
      <w:r w:rsidRPr="00E330BC">
        <w:fldChar w:fldCharType="begin"/>
      </w:r>
      <w:r w:rsidRPr="004B7027">
        <w:instrText xml:space="preserve"> REF _Ref425174722 \h </w:instrText>
      </w:r>
      <w:r w:rsidRPr="00E330BC">
        <w:fldChar w:fldCharType="separate"/>
      </w:r>
      <w:r w:rsidR="00CC2F48" w:rsidRPr="00E330BC">
        <w:t xml:space="preserve">Table </w:t>
      </w:r>
      <w:r w:rsidR="00CC2F48">
        <w:rPr>
          <w:noProof/>
        </w:rPr>
        <w:t>1</w:t>
      </w:r>
      <w:r w:rsidRPr="00E330BC">
        <w:fldChar w:fldCharType="end"/>
      </w:r>
      <w:r w:rsidRPr="004B7027">
        <w:t>.</w:t>
      </w:r>
      <w:r w:rsidR="00C63D4C">
        <w:t xml:space="preserve"> In our simulations, we assume that different NB-PRACH coverage classes are allocated with different time-frequency resources. However, within the sa</w:t>
      </w:r>
      <w:r w:rsidR="004D54F5">
        <w:t>m</w:t>
      </w:r>
      <w:r w:rsidR="00C63D4C">
        <w:t xml:space="preserve">e coverage class, multiple NB-PRACH preambles may be transmitted simultaneously from different UEs. In all our simulations, we study the scenario where there are two UEs in the same coverage class sending NB-PRACH preambles at the same </w:t>
      </w:r>
      <w:r w:rsidR="00C63D4C">
        <w:lastRenderedPageBreak/>
        <w:t>time. The received power levels differ between the two by x dB, which is referred to as the near-far ratio.</w:t>
      </w:r>
      <w:r w:rsidR="004D54F5">
        <w:t xml:space="preserve"> Besides, the preambles based on Zadoff-Chu sequences are generated according to the Mod Pi phase interpolation approach documented in [</w:t>
      </w:r>
      <w:r w:rsidR="007A387E">
        <w:t>7</w:t>
      </w:r>
      <w:proofErr w:type="gramStart"/>
      <w:r w:rsidR="007A387E">
        <w:t>,8</w:t>
      </w:r>
      <w:proofErr w:type="gramEnd"/>
      <w:r w:rsidR="004D54F5">
        <w:t>].</w:t>
      </w:r>
    </w:p>
    <w:p w14:paraId="53724F3B" w14:textId="77777777" w:rsidR="00E25416" w:rsidRPr="004B7027" w:rsidRDefault="00E25416" w:rsidP="009E2D8A">
      <w:pPr>
        <w:pStyle w:val="BodyText"/>
      </w:pPr>
    </w:p>
    <w:p w14:paraId="52E97A9E" w14:textId="1150E25E" w:rsidR="009E2D8A" w:rsidRDefault="009E2D8A" w:rsidP="00E25416">
      <w:pPr>
        <w:pStyle w:val="Caption"/>
      </w:pPr>
      <w:bookmarkStart w:id="3" w:name="_Ref425174722"/>
      <w:r w:rsidRPr="00E330BC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C2F48">
        <w:rPr>
          <w:noProof/>
        </w:rPr>
        <w:t>1</w:t>
      </w:r>
      <w:r>
        <w:rPr>
          <w:noProof/>
        </w:rPr>
        <w:fldChar w:fldCharType="end"/>
      </w:r>
      <w:bookmarkEnd w:id="3"/>
      <w:r w:rsidR="00E25416">
        <w:t>: Simulation parameters</w:t>
      </w:r>
    </w:p>
    <w:bookmarkStart w:id="4" w:name="_MON_1511615789"/>
    <w:bookmarkEnd w:id="4"/>
    <w:p w14:paraId="66F085DA" w14:textId="3F37C65F" w:rsidR="00E25416" w:rsidRPr="00E25416" w:rsidRDefault="00E25416" w:rsidP="00E25416">
      <w:r>
        <w:object w:dxaOrig="9360" w:dyaOrig="6030" w14:anchorId="59C20A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301.6pt" o:ole="">
            <v:imagedata r:id="rId11" o:title=""/>
          </v:shape>
          <o:OLEObject Type="Embed" ProgID="Word.Document.12" ShapeID="_x0000_i1025" DrawAspect="Content" ObjectID="_1514012372" r:id="rId12">
            <o:FieldCodes>\s</o:FieldCodes>
          </o:OLEObject>
        </w:object>
      </w:r>
    </w:p>
    <w:p w14:paraId="6211ECF1" w14:textId="77777777" w:rsidR="009E2D8A" w:rsidRDefault="009E2D8A" w:rsidP="004A37FB"/>
    <w:p w14:paraId="64BBC8D1" w14:textId="49E8B62E" w:rsidR="009E2D8A" w:rsidRDefault="001259E9" w:rsidP="001259E9">
      <w:pPr>
        <w:pStyle w:val="Heading2"/>
      </w:pPr>
      <w:r>
        <w:t xml:space="preserve">Format </w:t>
      </w:r>
      <w:r w:rsidR="00017B86">
        <w:t>0</w:t>
      </w:r>
    </w:p>
    <w:p w14:paraId="3FB28176" w14:textId="0053DFB2" w:rsidR="001259E9" w:rsidRDefault="001259E9" w:rsidP="001259E9">
      <w:r>
        <w:t xml:space="preserve">For NB-PRACH preamble </w:t>
      </w:r>
      <w:r w:rsidR="00D912D7">
        <w:t>Format 0</w:t>
      </w:r>
      <w:r>
        <w:t>, the nominal</w:t>
      </w:r>
      <w:r w:rsidR="00C63D4C">
        <w:t xml:space="preserve"> operating SNR is 0.9</w:t>
      </w:r>
      <w:r>
        <w:t xml:space="preserve"> dB</w:t>
      </w:r>
      <w:r w:rsidR="00BE3079">
        <w:t xml:space="preserve"> for achieving 144 dB coverage</w:t>
      </w:r>
      <w:r>
        <w:t>, see [6</w:t>
      </w:r>
      <w:r w:rsidR="00C63D4C">
        <w:t xml:space="preserve">]. In our </w:t>
      </w:r>
      <w:r w:rsidR="00D66B12">
        <w:t>simulations, one of the preambles is received at 0.9 dB SNR and the recei</w:t>
      </w:r>
      <w:r w:rsidR="00017B86">
        <w:t xml:space="preserve">ved SNR of the other </w:t>
      </w:r>
      <w:r w:rsidR="00D66B12">
        <w:t>preamble is varied according to the near-far ratio.</w:t>
      </w:r>
      <w:r w:rsidR="00BE3079">
        <w:t xml:space="preserve"> Preamble detection probability</w:t>
      </w:r>
      <w:r w:rsidR="0047159D">
        <w:t xml:space="preserve"> for the </w:t>
      </w:r>
      <w:r w:rsidR="00566A02">
        <w:t xml:space="preserve">preamble with </w:t>
      </w:r>
      <w:r w:rsidR="00017B86">
        <w:t>received SNR equal to 0.9 dB</w:t>
      </w:r>
      <w:r w:rsidR="00566A02">
        <w:t xml:space="preserve"> is shown in </w:t>
      </w:r>
      <w:r w:rsidR="00017B86">
        <w:fldChar w:fldCharType="begin"/>
      </w:r>
      <w:r w:rsidR="00017B86">
        <w:instrText xml:space="preserve"> REF _Ref437887709 \h </w:instrText>
      </w:r>
      <w:r w:rsidR="00017B86">
        <w:fldChar w:fldCharType="separate"/>
      </w:r>
      <w:r w:rsidR="00CC2F48">
        <w:t xml:space="preserve">Table </w:t>
      </w:r>
      <w:r w:rsidR="00CC2F48">
        <w:rPr>
          <w:noProof/>
        </w:rPr>
        <w:t>2</w:t>
      </w:r>
      <w:r w:rsidR="00017B86">
        <w:fldChar w:fldCharType="end"/>
      </w:r>
      <w:r w:rsidR="00017B86">
        <w:t xml:space="preserve">. The received SNR of the other preamble is 0.9+x dB, where x is the near far ratio. It can be seen that with near-far ratio equal to 0 or 5 dB, the detection probability is very similar to that without an interfering preamble. When the near-far ratio is 10 dB, the detection probability drops a bit more, however it is still above 90%. </w:t>
      </w:r>
      <w:r w:rsidR="000C5300">
        <w:t xml:space="preserve">When the near-far ratio is higher than 15 dB, the detection probability of preamble Format 0 drops to 70% and lower. </w:t>
      </w:r>
      <w:r w:rsidR="00D912D7">
        <w:t>The detection probability for the preamble with a higher received SNR is always close to 100% in all scenarios.</w:t>
      </w:r>
    </w:p>
    <w:p w14:paraId="10D786C1" w14:textId="77777777" w:rsidR="00017B86" w:rsidRDefault="00017B86" w:rsidP="001259E9"/>
    <w:p w14:paraId="4BFBDF80" w14:textId="1C89F3F4" w:rsidR="00017B86" w:rsidRDefault="00017B86" w:rsidP="00017B86">
      <w:pPr>
        <w:pStyle w:val="Caption"/>
      </w:pPr>
      <w:bookmarkStart w:id="5" w:name="_Ref43788770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C2F48">
        <w:rPr>
          <w:noProof/>
        </w:rPr>
        <w:t>2</w:t>
      </w:r>
      <w:r>
        <w:fldChar w:fldCharType="end"/>
      </w:r>
      <w:bookmarkEnd w:id="5"/>
      <w:r>
        <w:t>: Format 0 preamble detection probability in the presence of another Format 0 preamble</w:t>
      </w:r>
    </w:p>
    <w:tbl>
      <w:tblPr>
        <w:tblW w:w="9060" w:type="dxa"/>
        <w:tblInd w:w="414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52"/>
        <w:gridCol w:w="1501"/>
        <w:gridCol w:w="1502"/>
        <w:gridCol w:w="1501"/>
        <w:gridCol w:w="1502"/>
        <w:gridCol w:w="1502"/>
      </w:tblGrid>
      <w:tr w:rsidR="00017B86" w:rsidRPr="00017B86" w14:paraId="7D2DF287" w14:textId="77777777" w:rsidTr="00017B86">
        <w:trPr>
          <w:trHeight w:val="584"/>
        </w:trPr>
        <w:tc>
          <w:tcPr>
            <w:tcW w:w="155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BFEBB9" w14:textId="77777777" w:rsidR="00BD35FE" w:rsidRPr="00017B86" w:rsidRDefault="00017B86" w:rsidP="00017B86">
            <w:pPr>
              <w:rPr>
                <w:lang w:val="en-US"/>
              </w:rPr>
            </w:pPr>
            <w:r w:rsidRPr="00017B86">
              <w:rPr>
                <w:b/>
                <w:bCs/>
                <w:lang w:val="en-US"/>
              </w:rPr>
              <w:t>Near-Far Ratio</w:t>
            </w:r>
          </w:p>
        </w:tc>
        <w:tc>
          <w:tcPr>
            <w:tcW w:w="1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C2D1AE" w14:textId="77777777" w:rsidR="00BD35FE" w:rsidRPr="00017B86" w:rsidRDefault="00017B86" w:rsidP="00017B86">
            <w:pPr>
              <w:rPr>
                <w:lang w:val="en-US"/>
              </w:rPr>
            </w:pPr>
            <w:r w:rsidRPr="00017B86">
              <w:rPr>
                <w:b/>
                <w:bCs/>
                <w:lang w:val="en-US"/>
              </w:rPr>
              <w:t>0 dB</w:t>
            </w:r>
          </w:p>
        </w:tc>
        <w:tc>
          <w:tcPr>
            <w:tcW w:w="150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F2BFE6" w14:textId="77777777" w:rsidR="00BD35FE" w:rsidRPr="00017B86" w:rsidRDefault="00017B86" w:rsidP="00017B86">
            <w:pPr>
              <w:rPr>
                <w:lang w:val="en-US"/>
              </w:rPr>
            </w:pPr>
            <w:r w:rsidRPr="00017B86">
              <w:rPr>
                <w:b/>
                <w:bCs/>
                <w:lang w:val="en-US"/>
              </w:rPr>
              <w:t>5 dB</w:t>
            </w:r>
          </w:p>
        </w:tc>
        <w:tc>
          <w:tcPr>
            <w:tcW w:w="1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B8C387" w14:textId="77777777" w:rsidR="00BD35FE" w:rsidRPr="00017B86" w:rsidRDefault="00017B86" w:rsidP="00017B86">
            <w:pPr>
              <w:rPr>
                <w:lang w:val="en-US"/>
              </w:rPr>
            </w:pPr>
            <w:r w:rsidRPr="00017B86">
              <w:rPr>
                <w:b/>
                <w:bCs/>
                <w:lang w:val="en-US"/>
              </w:rPr>
              <w:t>10 dB</w:t>
            </w:r>
          </w:p>
        </w:tc>
        <w:tc>
          <w:tcPr>
            <w:tcW w:w="150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31FE3E" w14:textId="77777777" w:rsidR="00BD35FE" w:rsidRPr="00017B86" w:rsidRDefault="00017B86" w:rsidP="00017B86">
            <w:pPr>
              <w:rPr>
                <w:lang w:val="en-US"/>
              </w:rPr>
            </w:pPr>
            <w:r w:rsidRPr="00017B86">
              <w:rPr>
                <w:b/>
                <w:bCs/>
                <w:lang w:val="en-US"/>
              </w:rPr>
              <w:t>15 dB</w:t>
            </w:r>
          </w:p>
        </w:tc>
        <w:tc>
          <w:tcPr>
            <w:tcW w:w="150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F34F16" w14:textId="77777777" w:rsidR="00BD35FE" w:rsidRPr="00017B86" w:rsidRDefault="00017B86" w:rsidP="00017B86">
            <w:pPr>
              <w:rPr>
                <w:lang w:val="en-US"/>
              </w:rPr>
            </w:pPr>
            <w:r w:rsidRPr="00017B86">
              <w:rPr>
                <w:b/>
                <w:bCs/>
                <w:lang w:val="en-US"/>
              </w:rPr>
              <w:t>20 dB</w:t>
            </w:r>
          </w:p>
        </w:tc>
      </w:tr>
      <w:tr w:rsidR="00017B86" w:rsidRPr="00017B86" w14:paraId="2683A569" w14:textId="77777777" w:rsidTr="00017B86">
        <w:trPr>
          <w:trHeight w:val="584"/>
        </w:trPr>
        <w:tc>
          <w:tcPr>
            <w:tcW w:w="155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BE28B1" w14:textId="77777777" w:rsidR="00BD35FE" w:rsidRPr="00017B86" w:rsidRDefault="00017B86" w:rsidP="00017B86">
            <w:pPr>
              <w:rPr>
                <w:lang w:val="en-US"/>
              </w:rPr>
            </w:pPr>
            <w:r w:rsidRPr="00017B86">
              <w:rPr>
                <w:lang w:val="en-US"/>
              </w:rPr>
              <w:t>Detection Probability</w:t>
            </w:r>
          </w:p>
        </w:tc>
        <w:tc>
          <w:tcPr>
            <w:tcW w:w="1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2BEDB0" w14:textId="77777777" w:rsidR="00BD35FE" w:rsidRPr="00017B86" w:rsidRDefault="00017B86" w:rsidP="00017B86">
            <w:pPr>
              <w:rPr>
                <w:lang w:val="en-US"/>
              </w:rPr>
            </w:pPr>
            <w:r w:rsidRPr="00017B86">
              <w:rPr>
                <w:lang w:val="en-US"/>
              </w:rPr>
              <w:t>99.8%</w:t>
            </w:r>
          </w:p>
        </w:tc>
        <w:tc>
          <w:tcPr>
            <w:tcW w:w="150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4A352E" w14:textId="77777777" w:rsidR="00BD35FE" w:rsidRPr="00017B86" w:rsidRDefault="00017B86" w:rsidP="00017B86">
            <w:pPr>
              <w:rPr>
                <w:lang w:val="en-US"/>
              </w:rPr>
            </w:pPr>
            <w:r w:rsidRPr="00017B86">
              <w:rPr>
                <w:lang w:val="en-US"/>
              </w:rPr>
              <w:t>98.6%</w:t>
            </w:r>
          </w:p>
        </w:tc>
        <w:tc>
          <w:tcPr>
            <w:tcW w:w="1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E7010D" w14:textId="77777777" w:rsidR="00BD35FE" w:rsidRPr="00017B86" w:rsidRDefault="00017B86" w:rsidP="00017B86">
            <w:pPr>
              <w:rPr>
                <w:lang w:val="en-US"/>
              </w:rPr>
            </w:pPr>
            <w:r w:rsidRPr="00017B86">
              <w:rPr>
                <w:lang w:val="en-US"/>
              </w:rPr>
              <w:t>91.8%</w:t>
            </w:r>
          </w:p>
        </w:tc>
        <w:tc>
          <w:tcPr>
            <w:tcW w:w="150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20134E" w14:textId="77777777" w:rsidR="00BD35FE" w:rsidRPr="00017B86" w:rsidRDefault="00017B86" w:rsidP="00017B86">
            <w:pPr>
              <w:rPr>
                <w:lang w:val="en-US"/>
              </w:rPr>
            </w:pPr>
            <w:r w:rsidRPr="00017B86">
              <w:rPr>
                <w:lang w:val="en-US"/>
              </w:rPr>
              <w:t>70.0%</w:t>
            </w:r>
          </w:p>
        </w:tc>
        <w:tc>
          <w:tcPr>
            <w:tcW w:w="150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919164" w14:textId="77777777" w:rsidR="00BD35FE" w:rsidRPr="00017B86" w:rsidRDefault="00017B86" w:rsidP="00017B86">
            <w:pPr>
              <w:rPr>
                <w:lang w:val="en-US"/>
              </w:rPr>
            </w:pPr>
            <w:r w:rsidRPr="00017B86">
              <w:rPr>
                <w:lang w:val="en-US"/>
              </w:rPr>
              <w:t>36.8%</w:t>
            </w:r>
          </w:p>
        </w:tc>
      </w:tr>
    </w:tbl>
    <w:p w14:paraId="1E56BC00" w14:textId="77777777" w:rsidR="00566A02" w:rsidRDefault="00566A02" w:rsidP="001259E9"/>
    <w:p w14:paraId="63E6CF94" w14:textId="066DC5F2" w:rsidR="00D66B12" w:rsidRDefault="00CD010D" w:rsidP="001259E9">
      <w:r>
        <w:t xml:space="preserve">Timing advance (TA) estimate performance in near-far scenarios is shown in </w:t>
      </w:r>
      <w:r>
        <w:fldChar w:fldCharType="begin"/>
      </w:r>
      <w:r>
        <w:instrText xml:space="preserve"> REF _Ref437888331 \h </w:instrText>
      </w:r>
      <w:r>
        <w:fldChar w:fldCharType="separate"/>
      </w:r>
      <w:r w:rsidR="00CC2F48">
        <w:t xml:space="preserve">Figure </w:t>
      </w:r>
      <w:r w:rsidR="00CC2F48">
        <w:rPr>
          <w:noProof/>
        </w:rPr>
        <w:t>3</w:t>
      </w:r>
      <w:r>
        <w:fldChar w:fldCharType="end"/>
      </w:r>
      <w:r>
        <w:t xml:space="preserve">. Here performance of near-far ratios of 0 dB, 5 dB, 10 dB, 15 dB, and 20 dB is shown. The CDF with the tightest range of TA </w:t>
      </w:r>
      <w:r>
        <w:lastRenderedPageBreak/>
        <w:t xml:space="preserve">estimation error is the one with 0 dB near-far ratio, and the one with widest range of TA estimation error is the one with 20 dB near-far ratio. </w:t>
      </w:r>
      <w:proofErr w:type="gramStart"/>
      <w:r>
        <w:t xml:space="preserve">When the near-far ratio is 10 dB or below, the TA estimation error is within 4.7 </w:t>
      </w:r>
      <w:r w:rsidRPr="00CD010D">
        <w:rPr>
          <w:rFonts w:ascii="Symbol" w:hAnsi="Symbol"/>
        </w:rPr>
        <w:t></w:t>
      </w:r>
      <w:r>
        <w:t>s with close to 100% probability.</w:t>
      </w:r>
      <w:proofErr w:type="gramEnd"/>
      <w:r>
        <w:t xml:space="preserve"> When the near-far ratio is 15 dB and higher, </w:t>
      </w:r>
      <w:r w:rsidR="004811F4">
        <w:t>some realizations of poor TA estimation are observed.</w:t>
      </w:r>
    </w:p>
    <w:p w14:paraId="04479A32" w14:textId="1A61B2F0" w:rsidR="004811F4" w:rsidRDefault="004811F4" w:rsidP="001259E9">
      <w:r>
        <w:t xml:space="preserve">In summary, for NB-PRACH preamble </w:t>
      </w:r>
      <w:r w:rsidR="00006610">
        <w:t xml:space="preserve">Format 0, the detection performance and TA estimation accuracy are good when the near-far ratio is not more than 10 </w:t>
      </w:r>
      <w:proofErr w:type="spellStart"/>
      <w:r w:rsidR="00006610">
        <w:t>dB.</w:t>
      </w:r>
      <w:proofErr w:type="spellEnd"/>
      <w:r w:rsidR="00006610">
        <w:t xml:space="preserve"> </w:t>
      </w:r>
    </w:p>
    <w:p w14:paraId="311A6AB2" w14:textId="77777777" w:rsidR="00006610" w:rsidRDefault="00006610" w:rsidP="001259E9"/>
    <w:p w14:paraId="4F35B7AB" w14:textId="37B3CCA1" w:rsidR="00CD010D" w:rsidRDefault="002B4E11" w:rsidP="00CD010D">
      <w:pPr>
        <w:jc w:val="center"/>
      </w:pPr>
      <w:r w:rsidRPr="002B4E11">
        <w:rPr>
          <w:noProof/>
          <w:lang w:val="en-US" w:eastAsia="zh-TW"/>
        </w:rPr>
        <w:drawing>
          <wp:inline distT="0" distB="0" distL="0" distR="0" wp14:anchorId="579FB53E" wp14:editId="47EF84B1">
            <wp:extent cx="4252801" cy="3541495"/>
            <wp:effectExtent l="0" t="0" r="0" b="190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2977" cy="3541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98D57" w14:textId="723520B7" w:rsidR="00CD010D" w:rsidRDefault="00CD010D" w:rsidP="00CD010D">
      <w:pPr>
        <w:pStyle w:val="Caption"/>
      </w:pPr>
      <w:bookmarkStart w:id="6" w:name="_Ref43788833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C2F48">
        <w:rPr>
          <w:noProof/>
        </w:rPr>
        <w:t>3</w:t>
      </w:r>
      <w:r>
        <w:fldChar w:fldCharType="end"/>
      </w:r>
      <w:bookmarkEnd w:id="6"/>
      <w:r>
        <w:t>: Timing advance estimate accuracy of NB-PRACH preamble Format 0 in near-far scenarios.</w:t>
      </w:r>
    </w:p>
    <w:p w14:paraId="3833D645" w14:textId="7676F5D3" w:rsidR="00D912D7" w:rsidRDefault="00D912D7" w:rsidP="00D912D7">
      <w:pPr>
        <w:pStyle w:val="Heading2"/>
      </w:pPr>
      <w:r>
        <w:t>Format 1</w:t>
      </w:r>
    </w:p>
    <w:p w14:paraId="37AFEFBB" w14:textId="1ACC0CFE" w:rsidR="00D912D7" w:rsidRDefault="00D912D7" w:rsidP="00D912D7">
      <w:r>
        <w:t xml:space="preserve">For NB-PRACH preamble </w:t>
      </w:r>
      <w:r w:rsidR="00C612ED">
        <w:t>F</w:t>
      </w:r>
      <w:r>
        <w:t>ormat 1, the nominal operating SNR is -9.1 dB for achieving 154 dB coverage, see [6]. In our simulations, one of the preambles is received at -9.1 dB SNR and the received SNR of the other preamble is varied according to the near-far ratio. Preamble detection probability for the preamble with received SNR</w:t>
      </w:r>
      <w:r w:rsidR="00B404D4">
        <w:t xml:space="preserve"> equal to -9.1</w:t>
      </w:r>
      <w:r>
        <w:t xml:space="preserve"> dB is shown in</w:t>
      </w:r>
      <w:r w:rsidR="00B404D4">
        <w:t xml:space="preserve"> </w:t>
      </w:r>
      <w:r w:rsidR="00B404D4">
        <w:fldChar w:fldCharType="begin"/>
      </w:r>
      <w:r w:rsidR="00B404D4">
        <w:instrText xml:space="preserve"> REF _Ref437949102 \h </w:instrText>
      </w:r>
      <w:r w:rsidR="00B404D4">
        <w:fldChar w:fldCharType="separate"/>
      </w:r>
      <w:r w:rsidR="00CC2F48">
        <w:t xml:space="preserve">Table </w:t>
      </w:r>
      <w:r w:rsidR="00CC2F48">
        <w:rPr>
          <w:noProof/>
        </w:rPr>
        <w:t>3</w:t>
      </w:r>
      <w:r w:rsidR="00B404D4">
        <w:fldChar w:fldCharType="end"/>
      </w:r>
      <w:r>
        <w:t xml:space="preserve">. The received SNR of the other preamble is -9.1+x dB, where x is the near far ratio. It can be seen that with near-far ratio equal to 0 or 5 dB, the detection probability is very similar to that without an interfering preamble. When the near-far ratio is 10 dB, the detection probability drops a bit more, however it is still above 90%. When the near-far ratio is higher than 15 dB, the detection probability of preamble Format </w:t>
      </w:r>
      <w:r w:rsidR="00B404D4">
        <w:t>1</w:t>
      </w:r>
      <w:r>
        <w:t xml:space="preserve"> drops to </w:t>
      </w:r>
      <w:r w:rsidR="00B404D4">
        <w:t xml:space="preserve">lower than </w:t>
      </w:r>
      <w:r>
        <w:t>70%. The detection probability for the preamble with a higher received SNR is always close to 100% in all scenarios.</w:t>
      </w:r>
    </w:p>
    <w:p w14:paraId="2E33898E" w14:textId="1982BA70" w:rsidR="00C01D84" w:rsidRDefault="00C01D84" w:rsidP="00C01D84">
      <w:pPr>
        <w:pStyle w:val="Caption"/>
      </w:pPr>
      <w:bookmarkStart w:id="7" w:name="_Ref4379491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C2F48">
        <w:rPr>
          <w:noProof/>
        </w:rPr>
        <w:t>3</w:t>
      </w:r>
      <w:r>
        <w:fldChar w:fldCharType="end"/>
      </w:r>
      <w:bookmarkEnd w:id="7"/>
      <w:r>
        <w:t xml:space="preserve">: </w:t>
      </w:r>
      <w:r w:rsidR="00B404D4">
        <w:t>Format 1</w:t>
      </w:r>
      <w:r>
        <w:t xml:space="preserve"> preamble detection probability in the presence of another Format </w:t>
      </w:r>
      <w:r w:rsidR="00B404D4">
        <w:t>1</w:t>
      </w:r>
      <w:r>
        <w:t xml:space="preserve"> preamble</w:t>
      </w:r>
    </w:p>
    <w:tbl>
      <w:tblPr>
        <w:tblW w:w="9060" w:type="dxa"/>
        <w:tblInd w:w="414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52"/>
        <w:gridCol w:w="1501"/>
        <w:gridCol w:w="1502"/>
        <w:gridCol w:w="1501"/>
        <w:gridCol w:w="1502"/>
        <w:gridCol w:w="1502"/>
      </w:tblGrid>
      <w:tr w:rsidR="00C01D84" w:rsidRPr="00017B86" w14:paraId="28253EFF" w14:textId="77777777" w:rsidTr="00BD35FE">
        <w:trPr>
          <w:trHeight w:val="584"/>
        </w:trPr>
        <w:tc>
          <w:tcPr>
            <w:tcW w:w="155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30CA68" w14:textId="77777777" w:rsidR="00C01D84" w:rsidRPr="00017B86" w:rsidRDefault="00C01D84" w:rsidP="00BD35FE">
            <w:pPr>
              <w:rPr>
                <w:lang w:val="en-US"/>
              </w:rPr>
            </w:pPr>
            <w:r w:rsidRPr="00017B86">
              <w:rPr>
                <w:b/>
                <w:bCs/>
                <w:lang w:val="en-US"/>
              </w:rPr>
              <w:t>Near-Far Ratio</w:t>
            </w:r>
          </w:p>
        </w:tc>
        <w:tc>
          <w:tcPr>
            <w:tcW w:w="1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D1A5A4" w14:textId="77777777" w:rsidR="00C01D84" w:rsidRPr="00017B86" w:rsidRDefault="00C01D84" w:rsidP="00BD35FE">
            <w:pPr>
              <w:rPr>
                <w:lang w:val="en-US"/>
              </w:rPr>
            </w:pPr>
            <w:r w:rsidRPr="00017B86">
              <w:rPr>
                <w:b/>
                <w:bCs/>
                <w:lang w:val="en-US"/>
              </w:rPr>
              <w:t>0 dB</w:t>
            </w:r>
          </w:p>
        </w:tc>
        <w:tc>
          <w:tcPr>
            <w:tcW w:w="150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CC3E59" w14:textId="77777777" w:rsidR="00C01D84" w:rsidRPr="00017B86" w:rsidRDefault="00C01D84" w:rsidP="00BD35FE">
            <w:pPr>
              <w:rPr>
                <w:lang w:val="en-US"/>
              </w:rPr>
            </w:pPr>
            <w:r w:rsidRPr="00017B86">
              <w:rPr>
                <w:b/>
                <w:bCs/>
                <w:lang w:val="en-US"/>
              </w:rPr>
              <w:t>5 dB</w:t>
            </w:r>
          </w:p>
        </w:tc>
        <w:tc>
          <w:tcPr>
            <w:tcW w:w="1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80B7E4" w14:textId="77777777" w:rsidR="00C01D84" w:rsidRPr="00017B86" w:rsidRDefault="00C01D84" w:rsidP="00BD35FE">
            <w:pPr>
              <w:rPr>
                <w:lang w:val="en-US"/>
              </w:rPr>
            </w:pPr>
            <w:r w:rsidRPr="00017B86">
              <w:rPr>
                <w:b/>
                <w:bCs/>
                <w:lang w:val="en-US"/>
              </w:rPr>
              <w:t>10 dB</w:t>
            </w:r>
          </w:p>
        </w:tc>
        <w:tc>
          <w:tcPr>
            <w:tcW w:w="150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1BA4AF" w14:textId="77777777" w:rsidR="00C01D84" w:rsidRPr="00017B86" w:rsidRDefault="00C01D84" w:rsidP="00BD35FE">
            <w:pPr>
              <w:rPr>
                <w:lang w:val="en-US"/>
              </w:rPr>
            </w:pPr>
            <w:r w:rsidRPr="00017B86">
              <w:rPr>
                <w:b/>
                <w:bCs/>
                <w:lang w:val="en-US"/>
              </w:rPr>
              <w:t>15 dB</w:t>
            </w:r>
          </w:p>
        </w:tc>
        <w:tc>
          <w:tcPr>
            <w:tcW w:w="150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8994FB" w14:textId="77777777" w:rsidR="00C01D84" w:rsidRPr="00017B86" w:rsidRDefault="00C01D84" w:rsidP="00BD35FE">
            <w:pPr>
              <w:rPr>
                <w:lang w:val="en-US"/>
              </w:rPr>
            </w:pPr>
            <w:r w:rsidRPr="00017B86">
              <w:rPr>
                <w:b/>
                <w:bCs/>
                <w:lang w:val="en-US"/>
              </w:rPr>
              <w:t>20 dB</w:t>
            </w:r>
          </w:p>
        </w:tc>
      </w:tr>
      <w:tr w:rsidR="00B404D4" w:rsidRPr="00017B86" w14:paraId="2573ABD3" w14:textId="77777777" w:rsidTr="00BD35FE">
        <w:trPr>
          <w:trHeight w:val="584"/>
        </w:trPr>
        <w:tc>
          <w:tcPr>
            <w:tcW w:w="155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EE8000" w14:textId="77777777" w:rsidR="00B404D4" w:rsidRPr="00017B86" w:rsidRDefault="00B404D4" w:rsidP="00BD35FE">
            <w:pPr>
              <w:rPr>
                <w:lang w:val="en-US"/>
              </w:rPr>
            </w:pPr>
            <w:r w:rsidRPr="00017B86">
              <w:rPr>
                <w:lang w:val="en-US"/>
              </w:rPr>
              <w:t>Detection Probability</w:t>
            </w:r>
          </w:p>
        </w:tc>
        <w:tc>
          <w:tcPr>
            <w:tcW w:w="1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B13ECA" w14:textId="77E78925" w:rsidR="00B404D4" w:rsidRPr="00017B86" w:rsidRDefault="00B404D4" w:rsidP="00BD35FE">
            <w:pPr>
              <w:rPr>
                <w:lang w:val="en-US"/>
              </w:rPr>
            </w:pPr>
            <w:r w:rsidRPr="00B404D4">
              <w:rPr>
                <w:lang w:val="en-US"/>
              </w:rPr>
              <w:t>99.6%</w:t>
            </w:r>
          </w:p>
        </w:tc>
        <w:tc>
          <w:tcPr>
            <w:tcW w:w="150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C2AD77" w14:textId="7A43406A" w:rsidR="00B404D4" w:rsidRPr="00017B86" w:rsidRDefault="00B404D4" w:rsidP="00BD35FE">
            <w:pPr>
              <w:rPr>
                <w:lang w:val="en-US"/>
              </w:rPr>
            </w:pPr>
            <w:r w:rsidRPr="00B404D4">
              <w:rPr>
                <w:lang w:val="en-US"/>
              </w:rPr>
              <w:t>98.5%</w:t>
            </w:r>
          </w:p>
        </w:tc>
        <w:tc>
          <w:tcPr>
            <w:tcW w:w="1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857F27" w14:textId="21652721" w:rsidR="00B404D4" w:rsidRPr="00017B86" w:rsidRDefault="00B404D4" w:rsidP="00BD35FE">
            <w:pPr>
              <w:rPr>
                <w:lang w:val="en-US"/>
              </w:rPr>
            </w:pPr>
            <w:r w:rsidRPr="00B404D4">
              <w:rPr>
                <w:lang w:val="en-US"/>
              </w:rPr>
              <w:t>91.4%</w:t>
            </w:r>
          </w:p>
        </w:tc>
        <w:tc>
          <w:tcPr>
            <w:tcW w:w="150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6BDB9B" w14:textId="12557334" w:rsidR="00B404D4" w:rsidRPr="00017B86" w:rsidRDefault="00B404D4" w:rsidP="00BD35FE">
            <w:pPr>
              <w:rPr>
                <w:lang w:val="en-US"/>
              </w:rPr>
            </w:pPr>
            <w:r w:rsidRPr="00B404D4">
              <w:rPr>
                <w:lang w:val="en-US"/>
              </w:rPr>
              <w:t>68.9%</w:t>
            </w:r>
          </w:p>
        </w:tc>
        <w:tc>
          <w:tcPr>
            <w:tcW w:w="150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D47405" w14:textId="452D8E16" w:rsidR="00B404D4" w:rsidRPr="00017B86" w:rsidRDefault="00B404D4" w:rsidP="00BD35FE">
            <w:pPr>
              <w:rPr>
                <w:lang w:val="en-US"/>
              </w:rPr>
            </w:pPr>
            <w:r w:rsidRPr="00B404D4">
              <w:rPr>
                <w:lang w:val="en-US"/>
              </w:rPr>
              <w:t>35.9%</w:t>
            </w:r>
          </w:p>
        </w:tc>
      </w:tr>
    </w:tbl>
    <w:p w14:paraId="619391F2" w14:textId="77777777" w:rsidR="00C01D84" w:rsidRDefault="00C01D84" w:rsidP="00C01D84"/>
    <w:p w14:paraId="7552D803" w14:textId="2CDB6908" w:rsidR="00C01D84" w:rsidRDefault="00C01D84" w:rsidP="00C01D84">
      <w:r>
        <w:t>Timing advance (TA) estimate performance in near-far scenarios is shown in</w:t>
      </w:r>
      <w:r w:rsidR="00A61BC5">
        <w:t xml:space="preserve"> </w:t>
      </w:r>
      <w:r w:rsidR="00A61BC5">
        <w:fldChar w:fldCharType="begin"/>
      </w:r>
      <w:r w:rsidR="00A61BC5">
        <w:instrText xml:space="preserve"> REF _Ref437949320 \h </w:instrText>
      </w:r>
      <w:r w:rsidR="00A61BC5">
        <w:fldChar w:fldCharType="separate"/>
      </w:r>
      <w:r w:rsidR="00A61BC5">
        <w:t xml:space="preserve">Figure </w:t>
      </w:r>
      <w:r w:rsidR="00A61BC5">
        <w:rPr>
          <w:noProof/>
        </w:rPr>
        <w:t>4</w:t>
      </w:r>
      <w:r w:rsidR="00A61BC5">
        <w:fldChar w:fldCharType="end"/>
      </w:r>
      <w:r>
        <w:t xml:space="preserve">. </w:t>
      </w:r>
      <w:r w:rsidR="00B404D4">
        <w:t xml:space="preserve">Here, </w:t>
      </w:r>
      <w:r>
        <w:t xml:space="preserve">performance of near-far ratios of 0 dB, 5 dB, 10 dB, 15 dB, and 20 dB is shown. The CDF with the tightest range of TA estimation error is the one with 0 dB near-far ratio, and the one with widest range of TA estimation error is the one with 20 dB near-far ratio. </w:t>
      </w:r>
      <w:proofErr w:type="gramStart"/>
      <w:r>
        <w:t xml:space="preserve">When the near-far ratio is 10 dB or below, the TA estimation error is within </w:t>
      </w:r>
      <w:r>
        <w:lastRenderedPageBreak/>
        <w:t xml:space="preserve">4.7 </w:t>
      </w:r>
      <w:r w:rsidRPr="00CD010D">
        <w:rPr>
          <w:rFonts w:ascii="Symbol" w:hAnsi="Symbol"/>
        </w:rPr>
        <w:t></w:t>
      </w:r>
      <w:r>
        <w:t>s with close to 100% probability.</w:t>
      </w:r>
      <w:proofErr w:type="gramEnd"/>
      <w:r>
        <w:t xml:space="preserve"> When the near-far ratio is 15 dB and higher, some realizations of poor TA estimation are observed.</w:t>
      </w:r>
    </w:p>
    <w:p w14:paraId="0635E8E6" w14:textId="1C4DEFD1" w:rsidR="00C01D84" w:rsidRDefault="00C01D84" w:rsidP="00C01D84">
      <w:r>
        <w:t xml:space="preserve">In summary, for NB-PRACH preamble Format </w:t>
      </w:r>
      <w:r w:rsidR="002B4E11">
        <w:t>1</w:t>
      </w:r>
      <w:r>
        <w:t xml:space="preserve">, the detection performance and TA estimation accuracy are good when the near-far ratio is not more than 10 </w:t>
      </w:r>
      <w:proofErr w:type="spellStart"/>
      <w:r>
        <w:t>dB.</w:t>
      </w:r>
      <w:proofErr w:type="spellEnd"/>
      <w:r>
        <w:t xml:space="preserve"> </w:t>
      </w:r>
    </w:p>
    <w:p w14:paraId="5D347221" w14:textId="77777777" w:rsidR="00C01D84" w:rsidRDefault="00C01D84" w:rsidP="00C01D84"/>
    <w:p w14:paraId="400B4D21" w14:textId="4E187AE6" w:rsidR="00C01D84" w:rsidRDefault="002B4E11" w:rsidP="00C01D84">
      <w:pPr>
        <w:jc w:val="center"/>
      </w:pPr>
      <w:r w:rsidRPr="002B4E11">
        <w:rPr>
          <w:noProof/>
          <w:lang w:val="en-US" w:eastAsia="zh-TW"/>
        </w:rPr>
        <w:drawing>
          <wp:inline distT="0" distB="0" distL="0" distR="0" wp14:anchorId="6BB8D6C1" wp14:editId="04386559">
            <wp:extent cx="4240670" cy="3502324"/>
            <wp:effectExtent l="0" t="0" r="762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710" cy="3502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ACF78" w14:textId="071DEFB8" w:rsidR="00C01D84" w:rsidRDefault="00C01D84" w:rsidP="00C01D84">
      <w:pPr>
        <w:pStyle w:val="Caption"/>
      </w:pPr>
      <w:bookmarkStart w:id="8" w:name="_Ref4379493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C2F48">
        <w:rPr>
          <w:noProof/>
        </w:rPr>
        <w:t>4</w:t>
      </w:r>
      <w:r>
        <w:fldChar w:fldCharType="end"/>
      </w:r>
      <w:bookmarkEnd w:id="8"/>
      <w:r>
        <w:t xml:space="preserve">: Timing advance estimate accuracy of NB-PRACH preamble Format </w:t>
      </w:r>
      <w:r w:rsidR="00B404D4">
        <w:t>1</w:t>
      </w:r>
      <w:r>
        <w:t xml:space="preserve"> in near-far scenarios.</w:t>
      </w:r>
    </w:p>
    <w:p w14:paraId="7670EA3F" w14:textId="77777777" w:rsidR="00D66B12" w:rsidRDefault="00D66B12" w:rsidP="001259E9"/>
    <w:p w14:paraId="4DB83CC2" w14:textId="56D7A1FB" w:rsidR="00C612ED" w:rsidRDefault="00C612ED" w:rsidP="00C612ED">
      <w:pPr>
        <w:pStyle w:val="Heading2"/>
      </w:pPr>
      <w:r>
        <w:t>Format 2</w:t>
      </w:r>
    </w:p>
    <w:p w14:paraId="2FFFB10D" w14:textId="08934BAB" w:rsidR="00C612ED" w:rsidRDefault="00C612ED" w:rsidP="00C612ED">
      <w:r>
        <w:t>For NB-PRACH preamble Format 2, the nominal operating SNR is -</w:t>
      </w:r>
      <w:r w:rsidR="00CC2F48">
        <w:t xml:space="preserve">4.0 </w:t>
      </w:r>
      <w:r>
        <w:t>dB for achieving 1</w:t>
      </w:r>
      <w:r w:rsidR="00325727">
        <w:t>6</w:t>
      </w:r>
      <w:r>
        <w:t>4 dB coverage, see [6]. In our simulations, one of the preambles is received at -</w:t>
      </w:r>
      <w:r w:rsidR="00325727">
        <w:t>4</w:t>
      </w:r>
      <w:r>
        <w:t>.</w:t>
      </w:r>
      <w:r w:rsidR="00325727">
        <w:t>0</w:t>
      </w:r>
      <w:r>
        <w:t xml:space="preserve"> dB SNR and the received SNR of the other preamble is varied according to the near-far ratio. Preamble detection probability for the preamble with received SNR equal to -</w:t>
      </w:r>
      <w:r w:rsidR="00325727">
        <w:t>4</w:t>
      </w:r>
      <w:r>
        <w:t>.</w:t>
      </w:r>
      <w:r w:rsidR="00325727">
        <w:t>0</w:t>
      </w:r>
      <w:r>
        <w:t xml:space="preserve"> dB is shown in</w:t>
      </w:r>
      <w:r w:rsidR="00CC2F48">
        <w:t xml:space="preserve"> </w:t>
      </w:r>
      <w:r w:rsidR="00CC2F48">
        <w:fldChar w:fldCharType="begin"/>
      </w:r>
      <w:r w:rsidR="00CC2F48">
        <w:instrText xml:space="preserve"> REF _Ref437949534 \h </w:instrText>
      </w:r>
      <w:r w:rsidR="00CC2F48">
        <w:fldChar w:fldCharType="separate"/>
      </w:r>
      <w:r w:rsidR="00CC2F48">
        <w:t xml:space="preserve">Table </w:t>
      </w:r>
      <w:r w:rsidR="00CC2F48">
        <w:rPr>
          <w:noProof/>
        </w:rPr>
        <w:t>4</w:t>
      </w:r>
      <w:r w:rsidR="00CC2F48">
        <w:fldChar w:fldCharType="end"/>
      </w:r>
      <w:r>
        <w:t>. The received SNR of the other preamble is -</w:t>
      </w:r>
      <w:r w:rsidR="00325727">
        <w:t>4</w:t>
      </w:r>
      <w:r>
        <w:t>.</w:t>
      </w:r>
      <w:r w:rsidR="00325727">
        <w:t>0</w:t>
      </w:r>
      <w:r>
        <w:t xml:space="preserve">+x dB, where x is the near far ratio. It can be seen that </w:t>
      </w:r>
      <w:r w:rsidR="00A61BC5">
        <w:t>compared to Format 0 and Format 1, NB-PRACH preamble Format 2 is much more robust to the near-far problem. W</w:t>
      </w:r>
      <w:r>
        <w:t xml:space="preserve">ith near-far ratio </w:t>
      </w:r>
      <w:r w:rsidR="00A61BC5">
        <w:t>up to 2</w:t>
      </w:r>
      <w:r>
        <w:t xml:space="preserve">5 dB, the </w:t>
      </w:r>
      <w:r w:rsidR="00A61BC5">
        <w:t xml:space="preserve">detection probability for the weaker preamble </w:t>
      </w:r>
      <w:r>
        <w:t xml:space="preserve">is </w:t>
      </w:r>
      <w:r w:rsidR="00A61BC5">
        <w:t xml:space="preserve">higher than 95%. </w:t>
      </w:r>
    </w:p>
    <w:p w14:paraId="7F37F9A4" w14:textId="14E0065B" w:rsidR="00C612ED" w:rsidRDefault="00C612ED" w:rsidP="00C612ED">
      <w:pPr>
        <w:pStyle w:val="Caption"/>
      </w:pPr>
      <w:bookmarkStart w:id="9" w:name="_Ref43794953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C2F48">
        <w:rPr>
          <w:noProof/>
        </w:rPr>
        <w:t>4</w:t>
      </w:r>
      <w:r>
        <w:fldChar w:fldCharType="end"/>
      </w:r>
      <w:bookmarkEnd w:id="9"/>
      <w:r>
        <w:t xml:space="preserve">: Format </w:t>
      </w:r>
      <w:r w:rsidR="00A61BC5">
        <w:t>2</w:t>
      </w:r>
      <w:r>
        <w:t xml:space="preserve"> preamble detection probability in the presence of another Format </w:t>
      </w:r>
      <w:r w:rsidR="00CC2F48">
        <w:t>2</w:t>
      </w:r>
      <w:r>
        <w:t xml:space="preserve"> preamble</w:t>
      </w:r>
    </w:p>
    <w:tbl>
      <w:tblPr>
        <w:tblW w:w="9864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52"/>
        <w:gridCol w:w="1187"/>
        <w:gridCol w:w="1187"/>
        <w:gridCol w:w="1188"/>
        <w:gridCol w:w="1187"/>
        <w:gridCol w:w="1188"/>
        <w:gridCol w:w="1187"/>
        <w:gridCol w:w="1188"/>
      </w:tblGrid>
      <w:tr w:rsidR="00A61BC5" w:rsidRPr="00017B86" w14:paraId="779E75DE" w14:textId="4A671275" w:rsidTr="00A61BC5">
        <w:trPr>
          <w:trHeight w:val="584"/>
        </w:trPr>
        <w:tc>
          <w:tcPr>
            <w:tcW w:w="155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70F214" w14:textId="77777777" w:rsidR="00A61BC5" w:rsidRPr="00017B86" w:rsidRDefault="00A61BC5" w:rsidP="00BD35FE">
            <w:pPr>
              <w:rPr>
                <w:lang w:val="en-US"/>
              </w:rPr>
            </w:pPr>
            <w:r w:rsidRPr="00017B86">
              <w:rPr>
                <w:b/>
                <w:bCs/>
                <w:lang w:val="en-US"/>
              </w:rPr>
              <w:t>Near-Far Ratio</w:t>
            </w:r>
          </w:p>
        </w:tc>
        <w:tc>
          <w:tcPr>
            <w:tcW w:w="118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03B985" w14:textId="77777777" w:rsidR="00A61BC5" w:rsidRPr="00017B86" w:rsidRDefault="00A61BC5" w:rsidP="00BD35FE">
            <w:pPr>
              <w:rPr>
                <w:lang w:val="en-US"/>
              </w:rPr>
            </w:pPr>
            <w:r w:rsidRPr="00017B86">
              <w:rPr>
                <w:b/>
                <w:bCs/>
                <w:lang w:val="en-US"/>
              </w:rPr>
              <w:t>0 dB</w:t>
            </w:r>
          </w:p>
        </w:tc>
        <w:tc>
          <w:tcPr>
            <w:tcW w:w="118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AF0C508" w14:textId="77777777" w:rsidR="00A61BC5" w:rsidRPr="00017B86" w:rsidRDefault="00A61BC5" w:rsidP="00BD35FE">
            <w:pPr>
              <w:rPr>
                <w:lang w:val="en-US"/>
              </w:rPr>
            </w:pPr>
            <w:r w:rsidRPr="00017B86">
              <w:rPr>
                <w:b/>
                <w:bCs/>
                <w:lang w:val="en-US"/>
              </w:rPr>
              <w:t>5 dB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C3BA13" w14:textId="77777777" w:rsidR="00A61BC5" w:rsidRPr="00017B86" w:rsidRDefault="00A61BC5" w:rsidP="00BD35FE">
            <w:pPr>
              <w:rPr>
                <w:lang w:val="en-US"/>
              </w:rPr>
            </w:pPr>
            <w:r w:rsidRPr="00017B86">
              <w:rPr>
                <w:b/>
                <w:bCs/>
                <w:lang w:val="en-US"/>
              </w:rPr>
              <w:t>10 dB</w:t>
            </w:r>
          </w:p>
        </w:tc>
        <w:tc>
          <w:tcPr>
            <w:tcW w:w="118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C6093F" w14:textId="77777777" w:rsidR="00A61BC5" w:rsidRPr="00017B86" w:rsidRDefault="00A61BC5" w:rsidP="00BD35FE">
            <w:pPr>
              <w:rPr>
                <w:lang w:val="en-US"/>
              </w:rPr>
            </w:pPr>
            <w:r w:rsidRPr="00017B86">
              <w:rPr>
                <w:b/>
                <w:bCs/>
                <w:lang w:val="en-US"/>
              </w:rPr>
              <w:t>15 dB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5DA561" w14:textId="77777777" w:rsidR="00A61BC5" w:rsidRPr="00017B86" w:rsidRDefault="00A61BC5" w:rsidP="00BD35FE">
            <w:pPr>
              <w:rPr>
                <w:lang w:val="en-US"/>
              </w:rPr>
            </w:pPr>
            <w:r w:rsidRPr="00017B86">
              <w:rPr>
                <w:b/>
                <w:bCs/>
                <w:lang w:val="en-US"/>
              </w:rPr>
              <w:t>20 dB</w:t>
            </w:r>
          </w:p>
        </w:tc>
        <w:tc>
          <w:tcPr>
            <w:tcW w:w="118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vAlign w:val="center"/>
          </w:tcPr>
          <w:p w14:paraId="24B4EC6C" w14:textId="3583F8DE" w:rsidR="00A61BC5" w:rsidRPr="00017B86" w:rsidRDefault="00A61BC5" w:rsidP="00A61BC5">
            <w:pPr>
              <w:jc w:val="center"/>
              <w:rPr>
                <w:b/>
                <w:bCs/>
                <w:lang w:val="en-US"/>
              </w:rPr>
            </w:pPr>
            <w:r w:rsidRPr="00017B86"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  <w:lang w:val="en-US"/>
              </w:rPr>
              <w:t>5</w:t>
            </w:r>
            <w:r w:rsidRPr="00017B86">
              <w:rPr>
                <w:b/>
                <w:bCs/>
                <w:lang w:val="en-US"/>
              </w:rPr>
              <w:t xml:space="preserve"> dB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vAlign w:val="center"/>
          </w:tcPr>
          <w:p w14:paraId="6F3BE021" w14:textId="49DCDB31" w:rsidR="00A61BC5" w:rsidRPr="00017B86" w:rsidRDefault="00A61BC5" w:rsidP="00A61BC5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  <w:r w:rsidRPr="00017B86">
              <w:rPr>
                <w:b/>
                <w:bCs/>
                <w:lang w:val="en-US"/>
              </w:rPr>
              <w:t>0 dB</w:t>
            </w:r>
          </w:p>
        </w:tc>
      </w:tr>
      <w:tr w:rsidR="00A61BC5" w:rsidRPr="00017B86" w14:paraId="48E32646" w14:textId="671232B8" w:rsidTr="00A61BC5">
        <w:trPr>
          <w:trHeight w:val="584"/>
        </w:trPr>
        <w:tc>
          <w:tcPr>
            <w:tcW w:w="155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1CBA9D" w14:textId="77777777" w:rsidR="00A61BC5" w:rsidRPr="00017B86" w:rsidRDefault="00A61BC5" w:rsidP="00BD35FE">
            <w:pPr>
              <w:rPr>
                <w:lang w:val="en-US"/>
              </w:rPr>
            </w:pPr>
            <w:r w:rsidRPr="00017B86">
              <w:rPr>
                <w:lang w:val="en-US"/>
              </w:rPr>
              <w:t>Detection Probability</w:t>
            </w:r>
          </w:p>
        </w:tc>
        <w:tc>
          <w:tcPr>
            <w:tcW w:w="118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2FE158" w14:textId="2B335C9E" w:rsidR="00A61BC5" w:rsidRPr="00017B86" w:rsidRDefault="00A61BC5" w:rsidP="00BD35FE">
            <w:pPr>
              <w:rPr>
                <w:lang w:val="en-US"/>
              </w:rPr>
            </w:pPr>
            <w:r w:rsidRPr="00A61BC5">
              <w:rPr>
                <w:lang w:val="en-US"/>
              </w:rPr>
              <w:t>99.9%</w:t>
            </w:r>
          </w:p>
        </w:tc>
        <w:tc>
          <w:tcPr>
            <w:tcW w:w="118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E4AB4F" w14:textId="5CD82603" w:rsidR="00A61BC5" w:rsidRPr="00017B86" w:rsidRDefault="00A61BC5" w:rsidP="00BD35FE">
            <w:pPr>
              <w:rPr>
                <w:lang w:val="en-US"/>
              </w:rPr>
            </w:pPr>
            <w:r w:rsidRPr="00A61BC5">
              <w:rPr>
                <w:lang w:val="en-US"/>
              </w:rPr>
              <w:t>99.9%</w:t>
            </w:r>
          </w:p>
        </w:tc>
        <w:tc>
          <w:tcPr>
            <w:tcW w:w="11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8CD456" w14:textId="3F9D4544" w:rsidR="00A61BC5" w:rsidRPr="00017B86" w:rsidRDefault="00A61BC5" w:rsidP="00BD35FE">
            <w:pPr>
              <w:rPr>
                <w:lang w:val="en-US"/>
              </w:rPr>
            </w:pPr>
            <w:r w:rsidRPr="00A61BC5">
              <w:rPr>
                <w:lang w:val="en-US"/>
              </w:rPr>
              <w:t>99.9%</w:t>
            </w:r>
          </w:p>
        </w:tc>
        <w:tc>
          <w:tcPr>
            <w:tcW w:w="118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BAAA88" w14:textId="67A7B252" w:rsidR="00A61BC5" w:rsidRPr="00017B86" w:rsidRDefault="00A61BC5" w:rsidP="00BD35FE">
            <w:pPr>
              <w:rPr>
                <w:lang w:val="en-US"/>
              </w:rPr>
            </w:pPr>
            <w:r w:rsidRPr="00A61BC5">
              <w:rPr>
                <w:lang w:val="en-US"/>
              </w:rPr>
              <w:t>99.9%</w:t>
            </w:r>
          </w:p>
        </w:tc>
        <w:tc>
          <w:tcPr>
            <w:tcW w:w="11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2CDB3A" w14:textId="312541C7" w:rsidR="00A61BC5" w:rsidRPr="00017B86" w:rsidRDefault="00A61BC5" w:rsidP="00BD35FE">
            <w:pPr>
              <w:rPr>
                <w:lang w:val="en-US"/>
              </w:rPr>
            </w:pPr>
            <w:r w:rsidRPr="00A61BC5">
              <w:rPr>
                <w:lang w:val="en-US"/>
              </w:rPr>
              <w:t>99.6%</w:t>
            </w:r>
          </w:p>
        </w:tc>
        <w:tc>
          <w:tcPr>
            <w:tcW w:w="118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vAlign w:val="center"/>
          </w:tcPr>
          <w:p w14:paraId="3A191426" w14:textId="7231F987" w:rsidR="00A61BC5" w:rsidRPr="00A61BC5" w:rsidRDefault="00A61BC5" w:rsidP="00A61BC5">
            <w:pPr>
              <w:jc w:val="center"/>
              <w:rPr>
                <w:lang w:val="en-US"/>
              </w:rPr>
            </w:pPr>
            <w:r w:rsidRPr="00A61BC5">
              <w:rPr>
                <w:lang w:val="en-US"/>
              </w:rPr>
              <w:t>9</w:t>
            </w:r>
            <w:r>
              <w:rPr>
                <w:lang w:val="en-US"/>
              </w:rPr>
              <w:t>6</w:t>
            </w:r>
            <w:r w:rsidRPr="00A61BC5">
              <w:rPr>
                <w:lang w:val="en-US"/>
              </w:rPr>
              <w:t>.</w:t>
            </w:r>
            <w:r>
              <w:rPr>
                <w:lang w:val="en-US"/>
              </w:rPr>
              <w:t>7</w:t>
            </w:r>
            <w:r w:rsidRPr="00A61BC5">
              <w:rPr>
                <w:lang w:val="en-US"/>
              </w:rPr>
              <w:t>%</w:t>
            </w:r>
          </w:p>
        </w:tc>
        <w:tc>
          <w:tcPr>
            <w:tcW w:w="11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vAlign w:val="center"/>
          </w:tcPr>
          <w:p w14:paraId="4030A9DD" w14:textId="5DB5D432" w:rsidR="00A61BC5" w:rsidRPr="00A61BC5" w:rsidRDefault="00A61BC5" w:rsidP="00A61B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81.7</w:t>
            </w:r>
            <w:r w:rsidRPr="00A61BC5">
              <w:rPr>
                <w:lang w:val="en-US"/>
              </w:rPr>
              <w:t>%</w:t>
            </w:r>
          </w:p>
        </w:tc>
      </w:tr>
    </w:tbl>
    <w:p w14:paraId="4D401BFA" w14:textId="77777777" w:rsidR="00C612ED" w:rsidRDefault="00C612ED" w:rsidP="00C612ED"/>
    <w:p w14:paraId="2F7E29C7" w14:textId="4DC87838" w:rsidR="00C612ED" w:rsidRDefault="00C612ED" w:rsidP="00C612ED">
      <w:r>
        <w:t>Timing advance (TA) estimate performance in near-far scenarios is shown in</w:t>
      </w:r>
      <w:r w:rsidR="00A61BC5">
        <w:t xml:space="preserve"> </w:t>
      </w:r>
      <w:r w:rsidR="00A61BC5">
        <w:fldChar w:fldCharType="begin"/>
      </w:r>
      <w:r w:rsidR="00A61BC5">
        <w:instrText xml:space="preserve"> REF _Ref437950092 \h </w:instrText>
      </w:r>
      <w:r w:rsidR="00A61BC5">
        <w:fldChar w:fldCharType="separate"/>
      </w:r>
      <w:r w:rsidR="00A61BC5">
        <w:t xml:space="preserve">Figure </w:t>
      </w:r>
      <w:r w:rsidR="00A61BC5">
        <w:rPr>
          <w:noProof/>
        </w:rPr>
        <w:t>5</w:t>
      </w:r>
      <w:r w:rsidR="00A61BC5">
        <w:fldChar w:fldCharType="end"/>
      </w:r>
      <w:r>
        <w:t xml:space="preserve">. Here, performance of near-far ratios of 0 dB, 5 dB, 10 dB, 15 dB, </w:t>
      </w:r>
      <w:r w:rsidR="00A61BC5">
        <w:t xml:space="preserve">20 dB, 25 dB, </w:t>
      </w:r>
      <w:r>
        <w:t xml:space="preserve">and </w:t>
      </w:r>
      <w:r w:rsidR="00A61BC5">
        <w:t>3</w:t>
      </w:r>
      <w:r>
        <w:t xml:space="preserve">0 dB is shown. The CDF with the tightest range of TA estimation error is the one with 0 dB near-far ratio, and the one with widest range of TA estimation error is the one with </w:t>
      </w:r>
      <w:r w:rsidR="00A61BC5">
        <w:t>3</w:t>
      </w:r>
      <w:r>
        <w:t xml:space="preserve">0 dB near-far ratio. </w:t>
      </w:r>
      <w:proofErr w:type="gramStart"/>
      <w:r>
        <w:t xml:space="preserve">When the near-far ratio is </w:t>
      </w:r>
      <w:r w:rsidR="00A61BC5">
        <w:t>25</w:t>
      </w:r>
      <w:r>
        <w:t xml:space="preserve"> dB or below, the TA estimation error is within </w:t>
      </w:r>
      <w:r w:rsidR="00A61BC5">
        <w:t>30</w:t>
      </w:r>
      <w:r>
        <w:t xml:space="preserve"> </w:t>
      </w:r>
      <w:r w:rsidRPr="00CD010D">
        <w:rPr>
          <w:rFonts w:ascii="Symbol" w:hAnsi="Symbol"/>
        </w:rPr>
        <w:t></w:t>
      </w:r>
      <w:r>
        <w:t>s with close to 100% probability.</w:t>
      </w:r>
      <w:proofErr w:type="gramEnd"/>
      <w:r>
        <w:t xml:space="preserve"> When the near-far ratio is </w:t>
      </w:r>
      <w:r w:rsidR="00A61BC5">
        <w:t>30</w:t>
      </w:r>
      <w:r>
        <w:t xml:space="preserve"> dB and higher, some realizations of poor TA estimation are observed.</w:t>
      </w:r>
    </w:p>
    <w:p w14:paraId="1615769C" w14:textId="05DB9573" w:rsidR="00C612ED" w:rsidRDefault="00C612ED" w:rsidP="00C612ED">
      <w:r>
        <w:lastRenderedPageBreak/>
        <w:t xml:space="preserve">In summary, for NB-PRACH preamble Format </w:t>
      </w:r>
      <w:r w:rsidR="00A61BC5">
        <w:t>2</w:t>
      </w:r>
      <w:r>
        <w:t xml:space="preserve">, the detection performance and TA estimation accuracy are good when the near-far ratio is not more than </w:t>
      </w:r>
      <w:r w:rsidR="00A61BC5">
        <w:t>25</w:t>
      </w:r>
      <w:r>
        <w:t xml:space="preserve"> </w:t>
      </w:r>
      <w:proofErr w:type="spellStart"/>
      <w:r>
        <w:t>dB.</w:t>
      </w:r>
      <w:proofErr w:type="spellEnd"/>
      <w:r>
        <w:t xml:space="preserve"> </w:t>
      </w:r>
    </w:p>
    <w:p w14:paraId="507404CE" w14:textId="77777777" w:rsidR="00C612ED" w:rsidRDefault="00C612ED" w:rsidP="00C612ED"/>
    <w:p w14:paraId="0DE92D47" w14:textId="13FC708F" w:rsidR="00C612ED" w:rsidRDefault="00A61BC5" w:rsidP="00C612ED">
      <w:pPr>
        <w:jc w:val="center"/>
      </w:pPr>
      <w:r w:rsidRPr="00A61BC5">
        <w:rPr>
          <w:noProof/>
          <w:lang w:val="en-US" w:eastAsia="zh-TW"/>
        </w:rPr>
        <w:drawing>
          <wp:inline distT="0" distB="0" distL="0" distR="0" wp14:anchorId="0753638A" wp14:editId="2FCAE959">
            <wp:extent cx="4356340" cy="3598348"/>
            <wp:effectExtent l="0" t="0" r="6350" b="254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447" cy="3598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AB97C" w14:textId="385EC752" w:rsidR="00C612ED" w:rsidRDefault="00C612ED" w:rsidP="00C612ED">
      <w:pPr>
        <w:pStyle w:val="Caption"/>
      </w:pPr>
      <w:bookmarkStart w:id="10" w:name="_Ref43795009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C2F48">
        <w:rPr>
          <w:noProof/>
        </w:rPr>
        <w:t>5</w:t>
      </w:r>
      <w:r>
        <w:fldChar w:fldCharType="end"/>
      </w:r>
      <w:bookmarkEnd w:id="10"/>
      <w:r>
        <w:t xml:space="preserve">: Timing advance estimate accuracy of NB-PRACH preamble Format </w:t>
      </w:r>
      <w:r w:rsidR="00CC2F48">
        <w:t>2</w:t>
      </w:r>
      <w:r>
        <w:t xml:space="preserve"> in near-far scenarios.</w:t>
      </w:r>
    </w:p>
    <w:p w14:paraId="102AA8D6" w14:textId="77777777" w:rsidR="00C612ED" w:rsidRDefault="00C612ED" w:rsidP="00C612ED"/>
    <w:p w14:paraId="4F9BC49A" w14:textId="4893BC08" w:rsidR="00C612ED" w:rsidRDefault="00BD35FE" w:rsidP="00BD35FE">
      <w:pPr>
        <w:pStyle w:val="Heading1"/>
      </w:pPr>
      <w:r>
        <w:t>NB-PRACH Preamble power ramping</w:t>
      </w:r>
    </w:p>
    <w:p w14:paraId="64D773D6" w14:textId="6AA09B2E" w:rsidR="00D66B12" w:rsidRDefault="00BD35FE" w:rsidP="001259E9">
      <w:r>
        <w:t xml:space="preserve">Based on the near-far performance, it is recommended that slow power ramping is used for NB-PRACH preamble Format 0 and Format 1. With slow power ramping, the UE determines the transmit power of the first preamble transmission based on an estimated path loss and a power </w:t>
      </w:r>
      <w:proofErr w:type="spellStart"/>
      <w:r>
        <w:t>backoff</w:t>
      </w:r>
      <w:proofErr w:type="spellEnd"/>
      <w:r>
        <w:t xml:space="preserve"> factor. The power </w:t>
      </w:r>
      <w:proofErr w:type="spellStart"/>
      <w:r>
        <w:t>backoff</w:t>
      </w:r>
      <w:proofErr w:type="spellEnd"/>
      <w:r>
        <w:t xml:space="preserve"> factor is used to ensure that a UE will not cause a near-far problem due to the path loss estimate being overly pessimistic. If the UE does not hear a random access response (RAR), the UE will increase the transmit power by a smaller step size (e.g. 3 dB). Thus, a slow power ramping is characterized by (1) a power </w:t>
      </w:r>
      <w:proofErr w:type="spellStart"/>
      <w:r>
        <w:t>backoff</w:t>
      </w:r>
      <w:proofErr w:type="spellEnd"/>
      <w:r>
        <w:t xml:space="preserve"> factor for the initial transmission, and (2) a small power ramp-up step size</w:t>
      </w:r>
      <w:r w:rsidR="00172D5A">
        <w:t xml:space="preserve"> for subsequent transmissions</w:t>
      </w:r>
      <w:r>
        <w:t xml:space="preserve">. </w:t>
      </w:r>
    </w:p>
    <w:p w14:paraId="3883C9CF" w14:textId="029DCF5B" w:rsidR="00D66B12" w:rsidRDefault="00BD35FE" w:rsidP="001259E9">
      <w:r>
        <w:t xml:space="preserve">Since Format 2 has a very good near-far performance, a fast power-ramping can be used. A fast power ramping </w:t>
      </w:r>
      <w:r w:rsidR="004477C1">
        <w:t xml:space="preserve">procedure </w:t>
      </w:r>
      <w:r>
        <w:t xml:space="preserve">does not require a power </w:t>
      </w:r>
      <w:proofErr w:type="spellStart"/>
      <w:r>
        <w:t>backoff</w:t>
      </w:r>
      <w:proofErr w:type="spellEnd"/>
      <w:r>
        <w:t xml:space="preserve"> for the initial transmission and </w:t>
      </w:r>
      <w:r w:rsidR="004477C1">
        <w:t xml:space="preserve">can use </w:t>
      </w:r>
      <w:r>
        <w:t>a bigger step size</w:t>
      </w:r>
      <w:r w:rsidR="00172D5A">
        <w:t xml:space="preserve"> (e.g. 5 dB)</w:t>
      </w:r>
      <w:r>
        <w:t xml:space="preserve"> for power ramp-up du</w:t>
      </w:r>
      <w:r w:rsidR="00172D5A">
        <w:t>ring subsequent transmissions.</w:t>
      </w:r>
      <w:r w:rsidR="000600A4">
        <w:t xml:space="preserve"> If Format 2 is only used by users in extreme coverage with 164 dB MCL, UEs will always transmit with the highest power and accordingly power-ramping may not be needed. </w:t>
      </w:r>
    </w:p>
    <w:p w14:paraId="69604CDC" w14:textId="7A72F937" w:rsidR="00055FB3" w:rsidRPr="00E330BC" w:rsidRDefault="00055FB3" w:rsidP="00055FB3">
      <w:pPr>
        <w:pStyle w:val="Heading1"/>
      </w:pPr>
      <w:r>
        <w:t>Conclusions</w:t>
      </w:r>
    </w:p>
    <w:p w14:paraId="1483D90D" w14:textId="14DE9478" w:rsidR="004477C1" w:rsidRDefault="00511F61" w:rsidP="004477C1">
      <w:r>
        <w:t xml:space="preserve">In this contribution, we </w:t>
      </w:r>
      <w:r w:rsidR="00FC4745">
        <w:t xml:space="preserve">study the performance of NB-PRACH preamble detection when two different preambles are transmitted at the same time with different power levels. It is found that </w:t>
      </w:r>
      <w:r w:rsidR="004477C1">
        <w:t>NB-PRACH preamble Format 0 and Format 1 according to [6] is robust to a near-far ratio up to 10 dB</w:t>
      </w:r>
      <w:r w:rsidR="006D07A6">
        <w:t>, when the preambles are generated with mod Pi phase interpolation approach</w:t>
      </w:r>
      <w:r w:rsidR="004477C1">
        <w:t xml:space="preserve">. This requires a </w:t>
      </w:r>
      <w:r w:rsidR="00FA1E17">
        <w:t>s</w:t>
      </w:r>
      <w:r w:rsidR="004477C1">
        <w:t>lower power</w:t>
      </w:r>
      <w:r w:rsidR="000223DA">
        <w:t xml:space="preserve"> </w:t>
      </w:r>
      <w:r w:rsidR="004477C1">
        <w:t>ramping to be applied to the transmission of NB-PRACH preamble</w:t>
      </w:r>
      <w:r w:rsidR="006D07A6">
        <w:t>s under either</w:t>
      </w:r>
      <w:r w:rsidR="004477C1">
        <w:t xml:space="preserve"> Format 0 </w:t>
      </w:r>
      <w:r w:rsidR="006D07A6">
        <w:t>or</w:t>
      </w:r>
      <w:r w:rsidR="004477C1">
        <w:t xml:space="preserve"> Format 1. A slow power ramping procedure is characterized by (1) a power </w:t>
      </w:r>
      <w:proofErr w:type="spellStart"/>
      <w:r w:rsidR="004477C1">
        <w:t>backoff</w:t>
      </w:r>
      <w:proofErr w:type="spellEnd"/>
      <w:r w:rsidR="004477C1">
        <w:t xml:space="preserve"> factor for the initial transmission, and (2) a small power ramp-up step size for subsequent transmissions. </w:t>
      </w:r>
      <w:r w:rsidR="000A4DB4">
        <w:t xml:space="preserve">The </w:t>
      </w:r>
      <w:r w:rsidR="000A4DB4">
        <w:t>mod Pi phase interpolation approach</w:t>
      </w:r>
      <w:r w:rsidR="000A4DB4">
        <w:t xml:space="preserve"> for converting the </w:t>
      </w:r>
      <w:proofErr w:type="spellStart"/>
      <w:r w:rsidR="000A4DB4">
        <w:t>Zadoff</w:t>
      </w:r>
      <w:proofErr w:type="spellEnd"/>
      <w:r w:rsidR="000A4DB4">
        <w:t xml:space="preserve">-Chu sequence to a higher sampling rate is motivated by keeping the PAPR low after up-sampling, </w:t>
      </w:r>
      <w:r w:rsidR="000A4DB4">
        <w:lastRenderedPageBreak/>
        <w:t xml:space="preserve">see [7]. The </w:t>
      </w:r>
      <w:r w:rsidR="000A4DB4">
        <w:t>mod Pi phase interpolation approach</w:t>
      </w:r>
      <w:r w:rsidR="000A4DB4">
        <w:t xml:space="preserve"> however does sacrifice the near-far performance compared to the FFT-based interpolation approach. Thus, for </w:t>
      </w:r>
      <w:proofErr w:type="spellStart"/>
      <w:r w:rsidR="000A4DB4">
        <w:t>Zadoff</w:t>
      </w:r>
      <w:proofErr w:type="spellEnd"/>
      <w:r w:rsidR="000A4DB4">
        <w:t>-Chu sequence</w:t>
      </w:r>
      <w:r w:rsidR="000A4DB4">
        <w:t xml:space="preserve"> based NB-PRACH preamble design</w:t>
      </w:r>
      <w:bookmarkStart w:id="11" w:name="_GoBack"/>
      <w:bookmarkEnd w:id="11"/>
      <w:r w:rsidR="000A4DB4">
        <w:t>, the trade-off between near-far performance and PAPR need to be considered.</w:t>
      </w:r>
    </w:p>
    <w:p w14:paraId="1C6EB1F9" w14:textId="5F9A3A9E" w:rsidR="006D203B" w:rsidRDefault="004477C1" w:rsidP="00055FB3">
      <w:pPr>
        <w:pStyle w:val="BodyText"/>
      </w:pPr>
      <w:r>
        <w:t>NB-PRACH preamble Format 2 according to [6] has superior near-far performance, and thus a fast power-ramping procedure can be used</w:t>
      </w:r>
      <w:r w:rsidR="00B94258">
        <w:t>, or not needed if it is only used by users with 164 dB MCL</w:t>
      </w:r>
      <w:r>
        <w:t xml:space="preserve">. A fast power ramping procedure does not require a power </w:t>
      </w:r>
      <w:proofErr w:type="spellStart"/>
      <w:r>
        <w:t>backoff</w:t>
      </w:r>
      <w:proofErr w:type="spellEnd"/>
      <w:r>
        <w:t xml:space="preserve"> for the initial transmission and can use a bigger step size</w:t>
      </w:r>
      <w:r w:rsidRPr="004477C1">
        <w:t xml:space="preserve"> </w:t>
      </w:r>
      <w:r>
        <w:t>for power ramp-up during subsequent transmissions.</w:t>
      </w:r>
    </w:p>
    <w:p w14:paraId="607185F1" w14:textId="411A40B9" w:rsidR="00055FB3" w:rsidRPr="00055FB3" w:rsidRDefault="00525201" w:rsidP="00990218">
      <w:pPr>
        <w:pStyle w:val="Heading1"/>
        <w:numPr>
          <w:ilvl w:val="0"/>
          <w:numId w:val="3"/>
        </w:numPr>
        <w:rPr>
          <w:lang w:val="en-US"/>
        </w:rPr>
      </w:pPr>
      <w:r w:rsidRPr="00FE1F13">
        <w:rPr>
          <w:lang w:val="en-US"/>
        </w:rPr>
        <w:t>References</w:t>
      </w:r>
    </w:p>
    <w:p w14:paraId="61FF528C" w14:textId="1E4A9193" w:rsidR="00BD48C2" w:rsidRDefault="00594E36" w:rsidP="00990218">
      <w:pPr>
        <w:pStyle w:val="Reference"/>
        <w:numPr>
          <w:ilvl w:val="0"/>
          <w:numId w:val="1"/>
        </w:numPr>
        <w:tabs>
          <w:tab w:val="clear" w:pos="360"/>
        </w:tabs>
        <w:overflowPunct/>
        <w:autoSpaceDE/>
        <w:autoSpaceDN/>
        <w:adjustRightInd/>
        <w:spacing w:after="200" w:line="276" w:lineRule="auto"/>
        <w:ind w:left="357" w:hanging="357"/>
        <w:jc w:val="left"/>
        <w:textAlignment w:val="auto"/>
      </w:pPr>
      <w:bookmarkStart w:id="12" w:name="_Ref433894019"/>
      <w:bookmarkStart w:id="13" w:name="_Ref430944728"/>
      <w:r>
        <w:rPr>
          <w:lang w:val="en-US"/>
        </w:rPr>
        <w:t>R</w:t>
      </w:r>
      <w:r w:rsidR="00F5137F">
        <w:t xml:space="preserve">P-151621, “New Work Item: </w:t>
      </w:r>
      <w:proofErr w:type="spellStart"/>
      <w:r w:rsidR="00F5137F">
        <w:t>NarrowBand</w:t>
      </w:r>
      <w:proofErr w:type="spellEnd"/>
      <w:r w:rsidR="00F5137F">
        <w:t xml:space="preserve"> IOT (NB-IOT),” source Qualcomm Inc., RAN #69</w:t>
      </w:r>
      <w:r w:rsidR="00F47FEC">
        <w:t>, Sept. 2015</w:t>
      </w:r>
      <w:r w:rsidR="00F5137F">
        <w:t>.</w:t>
      </w:r>
      <w:bookmarkEnd w:id="12"/>
    </w:p>
    <w:p w14:paraId="3571D68A" w14:textId="24262739" w:rsidR="00F47FEC" w:rsidRDefault="00F47FEC" w:rsidP="00F47FEC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rPr>
          <w:lang w:val="en-US"/>
        </w:rPr>
        <w:t>R</w:t>
      </w:r>
      <w:r>
        <w:t xml:space="preserve">P-152284, “New Work Item: </w:t>
      </w:r>
      <w:proofErr w:type="spellStart"/>
      <w:r>
        <w:t>NarrowBand</w:t>
      </w:r>
      <w:proofErr w:type="spellEnd"/>
      <w:r>
        <w:t xml:space="preserve"> IOT (NB-IOT),” source Huawei and</w:t>
      </w:r>
      <w:r w:rsidRPr="00F47FEC">
        <w:t xml:space="preserve"> </w:t>
      </w:r>
      <w:proofErr w:type="spellStart"/>
      <w:r w:rsidRPr="00F47FEC">
        <w:t>HiSilicon</w:t>
      </w:r>
      <w:proofErr w:type="spellEnd"/>
      <w:r>
        <w:t>, RAN #70, Dec. 2015.</w:t>
      </w:r>
    </w:p>
    <w:p w14:paraId="200165EB" w14:textId="0930769B" w:rsidR="00567F78" w:rsidRDefault="00567F78" w:rsidP="00567F78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rPr>
          <w:lang w:val="en-US"/>
        </w:rPr>
        <w:t>R</w:t>
      </w:r>
      <w:r>
        <w:t>1-157421, “</w:t>
      </w:r>
      <w:r w:rsidRPr="00567F78">
        <w:t>NB-</w:t>
      </w:r>
      <w:proofErr w:type="spellStart"/>
      <w:r w:rsidRPr="00567F78">
        <w:t>IoT</w:t>
      </w:r>
      <w:proofErr w:type="spellEnd"/>
      <w:r w:rsidRPr="00567F78">
        <w:t xml:space="preserve"> - Performance of 15 kHz subcarrier spacing for NB-</w:t>
      </w:r>
      <w:proofErr w:type="spellStart"/>
      <w:r w:rsidRPr="00567F78">
        <w:t>IoT</w:t>
      </w:r>
      <w:proofErr w:type="spellEnd"/>
      <w:r w:rsidRPr="00567F78">
        <w:t xml:space="preserve"> uplink shared channel</w:t>
      </w:r>
      <w:r>
        <w:t>,” source Ericsson, RAN1 #83, Nov. 2015</w:t>
      </w:r>
      <w:r w:rsidR="007A387E">
        <w:t>,</w:t>
      </w:r>
      <w:r w:rsidR="007A387E" w:rsidRPr="007A387E">
        <w:t xml:space="preserve"> </w:t>
      </w:r>
      <w:r w:rsidR="007A387E">
        <w:t>Anaheim CA, USA</w:t>
      </w:r>
      <w:r>
        <w:t>.</w:t>
      </w:r>
    </w:p>
    <w:bookmarkStart w:id="14" w:name="_Ref425165970"/>
    <w:p w14:paraId="334DCB33" w14:textId="351C5101" w:rsidR="00102B71" w:rsidRPr="00E25416" w:rsidRDefault="00E27FD6" w:rsidP="00E27FD6">
      <w:pPr>
        <w:pStyle w:val="Reference"/>
        <w:numPr>
          <w:ilvl w:val="0"/>
          <w:numId w:val="1"/>
        </w:numPr>
        <w:tabs>
          <w:tab w:val="clear" w:pos="360"/>
        </w:tabs>
        <w:overflowPunct/>
        <w:autoSpaceDE/>
        <w:autoSpaceDN/>
        <w:adjustRightInd/>
        <w:spacing w:after="200" w:line="276" w:lineRule="auto"/>
        <w:ind w:left="357" w:hanging="357"/>
        <w:jc w:val="left"/>
        <w:textAlignment w:val="auto"/>
      </w:pPr>
      <w:r w:rsidRPr="00E330BC">
        <w:rPr>
          <w:rFonts w:cs="NimbusRomNo9L-Regu"/>
          <w:color w:val="231F20"/>
        </w:rPr>
        <w:fldChar w:fldCharType="begin"/>
      </w:r>
      <w:r w:rsidRPr="004B7027">
        <w:rPr>
          <w:rFonts w:cs="NimbusRomNo9L-Regu"/>
          <w:color w:val="231F20"/>
        </w:rPr>
        <w:instrText xml:space="preserve"> HYPERLINK "http://www.3gpp.org/ftp/Specs/archive/45_series/45.820/45820-131.zip" </w:instrText>
      </w:r>
      <w:r w:rsidRPr="00E330BC">
        <w:rPr>
          <w:rFonts w:cs="NimbusRomNo9L-Regu"/>
          <w:color w:val="231F20"/>
        </w:rPr>
        <w:fldChar w:fldCharType="separate"/>
      </w:r>
      <w:r w:rsidRPr="004B7027">
        <w:rPr>
          <w:rStyle w:val="Hyperlink"/>
          <w:rFonts w:cs="NimbusRomNo9L-Regu"/>
        </w:rPr>
        <w:t>3GPP TR 45.820</w:t>
      </w:r>
      <w:r w:rsidRPr="00E330BC">
        <w:rPr>
          <w:rFonts w:cs="NimbusRomNo9L-Regu"/>
          <w:color w:val="231F20"/>
        </w:rPr>
        <w:fldChar w:fldCharType="end"/>
      </w:r>
      <w:r w:rsidRPr="004B7027">
        <w:rPr>
          <w:rFonts w:cs="NimbusRomNo9L-Regu"/>
          <w:color w:val="231F20"/>
        </w:rPr>
        <w:t xml:space="preserve">, “Technical Specification Group GSM/EDGE Radio Access Network; Cellular System; Support for Ultra Low Complexity and Low Throughput Internet of Things; (Release 13),” </w:t>
      </w:r>
      <w:hyperlink r:id="rId16" w:history="1">
        <w:r w:rsidRPr="004B7027">
          <w:rPr>
            <w:rStyle w:val="Hyperlink"/>
            <w:rFonts w:cs="NimbusRomNo9L-Regu"/>
          </w:rPr>
          <w:t>www.3gpp.org</w:t>
        </w:r>
      </w:hyperlink>
      <w:r w:rsidRPr="004B7027">
        <w:rPr>
          <w:rFonts w:cs="NimbusRomNo9L-Regu"/>
          <w:color w:val="231F20"/>
        </w:rPr>
        <w:t>.</w:t>
      </w:r>
      <w:bookmarkEnd w:id="13"/>
      <w:bookmarkEnd w:id="14"/>
    </w:p>
    <w:p w14:paraId="1A5C7380" w14:textId="79B30E07" w:rsidR="00E25416" w:rsidRDefault="00E25416" w:rsidP="00E25416">
      <w:pPr>
        <w:pStyle w:val="Reference"/>
        <w:numPr>
          <w:ilvl w:val="0"/>
          <w:numId w:val="1"/>
        </w:numPr>
        <w:tabs>
          <w:tab w:val="clear" w:pos="360"/>
        </w:tabs>
        <w:overflowPunct/>
        <w:autoSpaceDE/>
        <w:autoSpaceDN/>
        <w:adjustRightInd/>
        <w:spacing w:after="200" w:line="276" w:lineRule="auto"/>
        <w:ind w:left="357" w:hanging="357"/>
        <w:jc w:val="left"/>
        <w:textAlignment w:val="auto"/>
      </w:pPr>
      <w:bookmarkStart w:id="15" w:name="_Ref430875691"/>
      <w:r w:rsidRPr="00E330BC">
        <w:t>R</w:t>
      </w:r>
      <w:r>
        <w:t>1</w:t>
      </w:r>
      <w:r w:rsidRPr="00E330BC">
        <w:t>-</w:t>
      </w:r>
      <w:r>
        <w:t>156009</w:t>
      </w:r>
      <w:r w:rsidRPr="00E330BC">
        <w:t>, “N</w:t>
      </w:r>
      <w:r>
        <w:t>B-</w:t>
      </w:r>
      <w:r w:rsidRPr="00E330BC">
        <w:t xml:space="preserve">LTE </w:t>
      </w:r>
      <w:proofErr w:type="gramStart"/>
      <w:r w:rsidRPr="00E330BC">
        <w:t>–</w:t>
      </w:r>
      <w:r>
        <w:t xml:space="preserve"> </w:t>
      </w:r>
      <w:r w:rsidRPr="00E330BC">
        <w:t xml:space="preserve"> </w:t>
      </w:r>
      <w:r>
        <w:t>Synchronization</w:t>
      </w:r>
      <w:proofErr w:type="gramEnd"/>
      <w:r>
        <w:t xml:space="preserve"> channel design and performance,” source Ericsson</w:t>
      </w:r>
      <w:r w:rsidRPr="00E330BC">
        <w:t xml:space="preserve">, </w:t>
      </w:r>
      <w:r>
        <w:t>October 2015, Malmo, Sweden</w:t>
      </w:r>
      <w:r w:rsidRPr="00E330BC">
        <w:t>.</w:t>
      </w:r>
      <w:bookmarkEnd w:id="15"/>
    </w:p>
    <w:p w14:paraId="38DEA8F5" w14:textId="140AE30A" w:rsidR="00F82C1D" w:rsidRDefault="00F82C1D" w:rsidP="00F82C1D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E330BC">
        <w:t>R</w:t>
      </w:r>
      <w:r>
        <w:t>1</w:t>
      </w:r>
      <w:r w:rsidRPr="00E330BC">
        <w:t>-</w:t>
      </w:r>
      <w:r>
        <w:t>157388</w:t>
      </w:r>
      <w:r w:rsidRPr="00E330BC">
        <w:t>, “</w:t>
      </w:r>
      <w:r w:rsidRPr="00F82C1D">
        <w:t xml:space="preserve">Narrowband </w:t>
      </w:r>
      <w:proofErr w:type="spellStart"/>
      <w:r w:rsidRPr="00F82C1D">
        <w:t>IoT</w:t>
      </w:r>
      <w:proofErr w:type="spellEnd"/>
      <w:r w:rsidRPr="00F82C1D">
        <w:t xml:space="preserve"> – Random Access Evaluation in Standalone Deployment</w:t>
      </w:r>
      <w:r>
        <w:t>,” source Ericsson</w:t>
      </w:r>
      <w:r w:rsidRPr="00E330BC">
        <w:t xml:space="preserve">, </w:t>
      </w:r>
      <w:r>
        <w:t>November 2015, Anaheim CA, USA</w:t>
      </w:r>
      <w:r w:rsidRPr="00E330BC">
        <w:t>.</w:t>
      </w:r>
    </w:p>
    <w:p w14:paraId="38B8F5A8" w14:textId="5795B0BA" w:rsidR="007A387E" w:rsidRDefault="007A387E" w:rsidP="007A387E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rPr>
          <w:lang w:val="en-US"/>
        </w:rPr>
        <w:t>R</w:t>
      </w:r>
      <w:r>
        <w:t>1-160094</w:t>
      </w:r>
      <w:r>
        <w:t>, “</w:t>
      </w:r>
      <w:r w:rsidRPr="007A387E">
        <w:t>NB-</w:t>
      </w:r>
      <w:proofErr w:type="spellStart"/>
      <w:r w:rsidRPr="007A387E">
        <w:t>IoT</w:t>
      </w:r>
      <w:proofErr w:type="spellEnd"/>
      <w:r w:rsidRPr="007A387E">
        <w:t xml:space="preserve"> - Design Considerations for </w:t>
      </w:r>
      <w:proofErr w:type="spellStart"/>
      <w:r w:rsidRPr="007A387E">
        <w:t>Zadoff</w:t>
      </w:r>
      <w:proofErr w:type="spellEnd"/>
      <w:r w:rsidRPr="007A387E">
        <w:t>-Chu Sequences Based NB-PRACH</w:t>
      </w:r>
      <w:r>
        <w:t xml:space="preserve">,” source Ericsson, RAN1 </w:t>
      </w:r>
      <w:r>
        <w:t>NB-</w:t>
      </w:r>
      <w:proofErr w:type="spellStart"/>
      <w:r>
        <w:t>IoT</w:t>
      </w:r>
      <w:proofErr w:type="spellEnd"/>
      <w:r>
        <w:t xml:space="preserve"> </w:t>
      </w:r>
      <w:proofErr w:type="spellStart"/>
      <w:r>
        <w:t>AdHoc</w:t>
      </w:r>
      <w:proofErr w:type="spellEnd"/>
      <w:r>
        <w:t xml:space="preserve">, </w:t>
      </w:r>
      <w:r>
        <w:t>Jan. 2016,</w:t>
      </w:r>
      <w:r w:rsidRPr="007A387E">
        <w:t xml:space="preserve"> </w:t>
      </w:r>
      <w:r>
        <w:t>Budapest, Hungary</w:t>
      </w:r>
      <w:r>
        <w:t>.</w:t>
      </w:r>
    </w:p>
    <w:p w14:paraId="2BF69454" w14:textId="1BCC197C" w:rsidR="007A387E" w:rsidRDefault="007A387E" w:rsidP="007A387E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proofErr w:type="spellStart"/>
      <w:r w:rsidRPr="007A387E">
        <w:t>Lötter</w:t>
      </w:r>
      <w:proofErr w:type="spellEnd"/>
      <w:r w:rsidRPr="007A387E">
        <w:t>, M. P., and L. P. Linde. "Constant envelope filtering of complex spreading sequences." Electronics Letters 31.17 (1995): 1406-1407.</w:t>
      </w:r>
    </w:p>
    <w:p w14:paraId="123E4305" w14:textId="77777777" w:rsidR="00F82C1D" w:rsidRPr="00252674" w:rsidRDefault="00F82C1D" w:rsidP="002464A9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ind w:left="567" w:hanging="567"/>
        <w:jc w:val="left"/>
        <w:textAlignment w:val="auto"/>
      </w:pPr>
    </w:p>
    <w:sectPr w:rsidR="00F82C1D" w:rsidRPr="00252674" w:rsidSect="003B5666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26994" w14:textId="77777777" w:rsidR="00A957D4" w:rsidRDefault="00A957D4">
      <w:pPr>
        <w:spacing w:after="0"/>
      </w:pPr>
      <w:r>
        <w:separator/>
      </w:r>
    </w:p>
  </w:endnote>
  <w:endnote w:type="continuationSeparator" w:id="0">
    <w:p w14:paraId="42F36112" w14:textId="77777777" w:rsidR="00A957D4" w:rsidRDefault="00A957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imbusRomNo9L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BD35FE" w:rsidRDefault="00BD35FE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06775">
      <w:rPr>
        <w:rStyle w:val="PageNumber"/>
      </w:rPr>
      <w:t>5</w:t>
    </w:r>
    <w:r>
      <w:rPr>
        <w:rStyle w:val="PageNumber"/>
      </w:rPr>
      <w:fldChar w:fldCharType="end"/>
    </w:r>
    <w:bookmarkStart w:id="16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06775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6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BD35FE" w:rsidRDefault="00BD35FE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0677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06775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42C724" w14:textId="77777777" w:rsidR="00A957D4" w:rsidRDefault="00A957D4">
      <w:pPr>
        <w:spacing w:after="0"/>
      </w:pPr>
      <w:r>
        <w:separator/>
      </w:r>
    </w:p>
  </w:footnote>
  <w:footnote w:type="continuationSeparator" w:id="0">
    <w:p w14:paraId="2810B411" w14:textId="77777777" w:rsidR="00A957D4" w:rsidRDefault="00A957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BD35FE" w:rsidRPr="006A0FC7" w:rsidRDefault="00BD35FE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BD35FE" w:rsidRPr="00BF30DA" w:rsidRDefault="00BD35FE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65E672E"/>
    <w:multiLevelType w:val="hybridMultilevel"/>
    <w:tmpl w:val="15C69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C15653"/>
    <w:multiLevelType w:val="hybridMultilevel"/>
    <w:tmpl w:val="0AE0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AE31E7"/>
    <w:multiLevelType w:val="hybridMultilevel"/>
    <w:tmpl w:val="52B67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9908C4"/>
    <w:multiLevelType w:val="hybridMultilevel"/>
    <w:tmpl w:val="D63E8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94545E"/>
    <w:multiLevelType w:val="hybridMultilevel"/>
    <w:tmpl w:val="A3CEC298"/>
    <w:lvl w:ilvl="0" w:tplc="FA1CC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DA13DE">
      <w:start w:val="5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04D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EA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0C5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2C7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BAC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9A95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21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"/>
  </w:num>
  <w:num w:numId="5">
    <w:abstractNumId w:val="5"/>
  </w:num>
  <w:num w:numId="6">
    <w:abstractNumId w:val="9"/>
  </w:num>
  <w:num w:numId="7">
    <w:abstractNumId w:val="15"/>
  </w:num>
  <w:num w:numId="8">
    <w:abstractNumId w:val="6"/>
  </w:num>
  <w:num w:numId="9">
    <w:abstractNumId w:val="8"/>
  </w:num>
  <w:num w:numId="10">
    <w:abstractNumId w:val="7"/>
  </w:num>
  <w:num w:numId="11">
    <w:abstractNumId w:val="12"/>
  </w:num>
  <w:num w:numId="12">
    <w:abstractNumId w:val="11"/>
  </w:num>
  <w:num w:numId="13">
    <w:abstractNumId w:val="16"/>
  </w:num>
  <w:num w:numId="14">
    <w:abstractNumId w:val="10"/>
  </w:num>
  <w:num w:numId="15">
    <w:abstractNumId w:val="13"/>
  </w:num>
  <w:num w:numId="16">
    <w:abstractNumId w:val="2"/>
  </w:num>
  <w:num w:numId="17">
    <w:abstractNumId w:val="14"/>
  </w:num>
  <w:num w:numId="18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470B"/>
    <w:rsid w:val="00004F8F"/>
    <w:rsid w:val="000051C9"/>
    <w:rsid w:val="00005C0F"/>
    <w:rsid w:val="00006610"/>
    <w:rsid w:val="000075E4"/>
    <w:rsid w:val="0001002B"/>
    <w:rsid w:val="00010AEE"/>
    <w:rsid w:val="00013F4F"/>
    <w:rsid w:val="00014DAE"/>
    <w:rsid w:val="00017366"/>
    <w:rsid w:val="00017B86"/>
    <w:rsid w:val="000223DA"/>
    <w:rsid w:val="000237B9"/>
    <w:rsid w:val="00024429"/>
    <w:rsid w:val="0002572A"/>
    <w:rsid w:val="00027311"/>
    <w:rsid w:val="00027D60"/>
    <w:rsid w:val="00031103"/>
    <w:rsid w:val="0003363D"/>
    <w:rsid w:val="00035879"/>
    <w:rsid w:val="00036AAB"/>
    <w:rsid w:val="00042044"/>
    <w:rsid w:val="00042761"/>
    <w:rsid w:val="00042A4F"/>
    <w:rsid w:val="0004621B"/>
    <w:rsid w:val="0005061C"/>
    <w:rsid w:val="0005126B"/>
    <w:rsid w:val="000529B3"/>
    <w:rsid w:val="00052A90"/>
    <w:rsid w:val="000530D9"/>
    <w:rsid w:val="0005365D"/>
    <w:rsid w:val="0005434F"/>
    <w:rsid w:val="00055864"/>
    <w:rsid w:val="00055E6D"/>
    <w:rsid w:val="00055FB3"/>
    <w:rsid w:val="00057B28"/>
    <w:rsid w:val="000600A4"/>
    <w:rsid w:val="00060362"/>
    <w:rsid w:val="00060CD9"/>
    <w:rsid w:val="00061919"/>
    <w:rsid w:val="00061B41"/>
    <w:rsid w:val="000624C0"/>
    <w:rsid w:val="0006596D"/>
    <w:rsid w:val="000668DB"/>
    <w:rsid w:val="00067182"/>
    <w:rsid w:val="0007045A"/>
    <w:rsid w:val="000721FC"/>
    <w:rsid w:val="00072382"/>
    <w:rsid w:val="00073A24"/>
    <w:rsid w:val="000742C6"/>
    <w:rsid w:val="000747E2"/>
    <w:rsid w:val="00074D6C"/>
    <w:rsid w:val="000803A9"/>
    <w:rsid w:val="00080800"/>
    <w:rsid w:val="00081CA2"/>
    <w:rsid w:val="000857F2"/>
    <w:rsid w:val="00087350"/>
    <w:rsid w:val="0008796B"/>
    <w:rsid w:val="00091A7F"/>
    <w:rsid w:val="00093C23"/>
    <w:rsid w:val="00093FC2"/>
    <w:rsid w:val="00094EAC"/>
    <w:rsid w:val="00096C16"/>
    <w:rsid w:val="00097F75"/>
    <w:rsid w:val="000A105F"/>
    <w:rsid w:val="000A207F"/>
    <w:rsid w:val="000A29C6"/>
    <w:rsid w:val="000A33B5"/>
    <w:rsid w:val="000A4DB4"/>
    <w:rsid w:val="000A4FF9"/>
    <w:rsid w:val="000A51A1"/>
    <w:rsid w:val="000A6510"/>
    <w:rsid w:val="000B1A6A"/>
    <w:rsid w:val="000B2C9C"/>
    <w:rsid w:val="000B31DD"/>
    <w:rsid w:val="000B3334"/>
    <w:rsid w:val="000B462B"/>
    <w:rsid w:val="000B484A"/>
    <w:rsid w:val="000B4C2A"/>
    <w:rsid w:val="000B53C1"/>
    <w:rsid w:val="000B5B8E"/>
    <w:rsid w:val="000C0BE5"/>
    <w:rsid w:val="000C18F3"/>
    <w:rsid w:val="000C2715"/>
    <w:rsid w:val="000C3C4D"/>
    <w:rsid w:val="000C5300"/>
    <w:rsid w:val="000C583D"/>
    <w:rsid w:val="000C7570"/>
    <w:rsid w:val="000C7F06"/>
    <w:rsid w:val="000D00D7"/>
    <w:rsid w:val="000D036A"/>
    <w:rsid w:val="000D451A"/>
    <w:rsid w:val="000D4529"/>
    <w:rsid w:val="000D4A89"/>
    <w:rsid w:val="000D4E16"/>
    <w:rsid w:val="000E0248"/>
    <w:rsid w:val="000E114A"/>
    <w:rsid w:val="000E29C3"/>
    <w:rsid w:val="000E2D68"/>
    <w:rsid w:val="000E2DED"/>
    <w:rsid w:val="000E334E"/>
    <w:rsid w:val="000E34C8"/>
    <w:rsid w:val="000E3586"/>
    <w:rsid w:val="000E4E27"/>
    <w:rsid w:val="000E63C3"/>
    <w:rsid w:val="000E71AB"/>
    <w:rsid w:val="000E7C9C"/>
    <w:rsid w:val="000E7F68"/>
    <w:rsid w:val="000F0839"/>
    <w:rsid w:val="000F0BFD"/>
    <w:rsid w:val="000F13BB"/>
    <w:rsid w:val="000F1847"/>
    <w:rsid w:val="000F20AD"/>
    <w:rsid w:val="000F22DE"/>
    <w:rsid w:val="000F2D08"/>
    <w:rsid w:val="000F2F61"/>
    <w:rsid w:val="000F4AC4"/>
    <w:rsid w:val="000F5664"/>
    <w:rsid w:val="000F5A66"/>
    <w:rsid w:val="000F623B"/>
    <w:rsid w:val="000F6CB2"/>
    <w:rsid w:val="000F6CDC"/>
    <w:rsid w:val="000F7F8E"/>
    <w:rsid w:val="0010028D"/>
    <w:rsid w:val="00100F09"/>
    <w:rsid w:val="001015B9"/>
    <w:rsid w:val="00101845"/>
    <w:rsid w:val="00102510"/>
    <w:rsid w:val="00102B71"/>
    <w:rsid w:val="001033FB"/>
    <w:rsid w:val="0010354A"/>
    <w:rsid w:val="00104263"/>
    <w:rsid w:val="00111437"/>
    <w:rsid w:val="00111F79"/>
    <w:rsid w:val="00114738"/>
    <w:rsid w:val="00114D8B"/>
    <w:rsid w:val="0011502D"/>
    <w:rsid w:val="0011558F"/>
    <w:rsid w:val="001178F2"/>
    <w:rsid w:val="00120041"/>
    <w:rsid w:val="001203AA"/>
    <w:rsid w:val="00125368"/>
    <w:rsid w:val="001254C4"/>
    <w:rsid w:val="001259E9"/>
    <w:rsid w:val="00126EAB"/>
    <w:rsid w:val="00127535"/>
    <w:rsid w:val="00130ED8"/>
    <w:rsid w:val="001311CC"/>
    <w:rsid w:val="0013241F"/>
    <w:rsid w:val="00132BF6"/>
    <w:rsid w:val="001354B2"/>
    <w:rsid w:val="00135EB8"/>
    <w:rsid w:val="00140C24"/>
    <w:rsid w:val="001421A8"/>
    <w:rsid w:val="00142231"/>
    <w:rsid w:val="00142630"/>
    <w:rsid w:val="00142768"/>
    <w:rsid w:val="0014582C"/>
    <w:rsid w:val="0014605C"/>
    <w:rsid w:val="00146EC4"/>
    <w:rsid w:val="00147E0D"/>
    <w:rsid w:val="00151C32"/>
    <w:rsid w:val="00152595"/>
    <w:rsid w:val="001547A1"/>
    <w:rsid w:val="0015500D"/>
    <w:rsid w:val="00155F9E"/>
    <w:rsid w:val="001562B9"/>
    <w:rsid w:val="00157573"/>
    <w:rsid w:val="00157601"/>
    <w:rsid w:val="0015771F"/>
    <w:rsid w:val="0016019B"/>
    <w:rsid w:val="00160AA0"/>
    <w:rsid w:val="00161281"/>
    <w:rsid w:val="00161EB7"/>
    <w:rsid w:val="001636B7"/>
    <w:rsid w:val="00166DF7"/>
    <w:rsid w:val="00167432"/>
    <w:rsid w:val="00170486"/>
    <w:rsid w:val="0017094F"/>
    <w:rsid w:val="00171C05"/>
    <w:rsid w:val="00172587"/>
    <w:rsid w:val="00172588"/>
    <w:rsid w:val="001726EA"/>
    <w:rsid w:val="0017281E"/>
    <w:rsid w:val="00172D5A"/>
    <w:rsid w:val="001738F4"/>
    <w:rsid w:val="00174542"/>
    <w:rsid w:val="00174768"/>
    <w:rsid w:val="00177929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B5F"/>
    <w:rsid w:val="00186D84"/>
    <w:rsid w:val="0018745C"/>
    <w:rsid w:val="00190C7B"/>
    <w:rsid w:val="00191B11"/>
    <w:rsid w:val="00194A90"/>
    <w:rsid w:val="00197701"/>
    <w:rsid w:val="001A0E97"/>
    <w:rsid w:val="001A3ADC"/>
    <w:rsid w:val="001A7B67"/>
    <w:rsid w:val="001B07BC"/>
    <w:rsid w:val="001B16EC"/>
    <w:rsid w:val="001B3005"/>
    <w:rsid w:val="001B32BE"/>
    <w:rsid w:val="001B5230"/>
    <w:rsid w:val="001B58B6"/>
    <w:rsid w:val="001C004F"/>
    <w:rsid w:val="001C1F12"/>
    <w:rsid w:val="001C34B5"/>
    <w:rsid w:val="001C4936"/>
    <w:rsid w:val="001C6000"/>
    <w:rsid w:val="001C68B2"/>
    <w:rsid w:val="001C7D09"/>
    <w:rsid w:val="001D06AC"/>
    <w:rsid w:val="001D07A5"/>
    <w:rsid w:val="001D0FC8"/>
    <w:rsid w:val="001D2F18"/>
    <w:rsid w:val="001D35C5"/>
    <w:rsid w:val="001D5CD9"/>
    <w:rsid w:val="001D6714"/>
    <w:rsid w:val="001E0970"/>
    <w:rsid w:val="001E1C9C"/>
    <w:rsid w:val="001E213E"/>
    <w:rsid w:val="001E272E"/>
    <w:rsid w:val="001E582A"/>
    <w:rsid w:val="001E71E2"/>
    <w:rsid w:val="001E7AF7"/>
    <w:rsid w:val="001E7F0E"/>
    <w:rsid w:val="001F0A4A"/>
    <w:rsid w:val="001F0B79"/>
    <w:rsid w:val="001F0CE9"/>
    <w:rsid w:val="001F122A"/>
    <w:rsid w:val="001F3714"/>
    <w:rsid w:val="001F39B2"/>
    <w:rsid w:val="001F3F4B"/>
    <w:rsid w:val="001F4253"/>
    <w:rsid w:val="001F454A"/>
    <w:rsid w:val="001F5990"/>
    <w:rsid w:val="001F651E"/>
    <w:rsid w:val="001F6DF3"/>
    <w:rsid w:val="001F6E69"/>
    <w:rsid w:val="001F7623"/>
    <w:rsid w:val="002025E0"/>
    <w:rsid w:val="0020329A"/>
    <w:rsid w:val="0020459E"/>
    <w:rsid w:val="002063BA"/>
    <w:rsid w:val="00206BFE"/>
    <w:rsid w:val="002116AB"/>
    <w:rsid w:val="0021523D"/>
    <w:rsid w:val="002177DE"/>
    <w:rsid w:val="002204EA"/>
    <w:rsid w:val="0022072E"/>
    <w:rsid w:val="00220E5C"/>
    <w:rsid w:val="00223950"/>
    <w:rsid w:val="00224545"/>
    <w:rsid w:val="00224F96"/>
    <w:rsid w:val="00225036"/>
    <w:rsid w:val="00225A4C"/>
    <w:rsid w:val="00226321"/>
    <w:rsid w:val="00230E69"/>
    <w:rsid w:val="00232CFF"/>
    <w:rsid w:val="00234070"/>
    <w:rsid w:val="00234B6E"/>
    <w:rsid w:val="002351BF"/>
    <w:rsid w:val="00235772"/>
    <w:rsid w:val="00235B22"/>
    <w:rsid w:val="00235E4A"/>
    <w:rsid w:val="00236C13"/>
    <w:rsid w:val="0023778C"/>
    <w:rsid w:val="00237F4E"/>
    <w:rsid w:val="00241F05"/>
    <w:rsid w:val="00244E12"/>
    <w:rsid w:val="002464A9"/>
    <w:rsid w:val="0024698E"/>
    <w:rsid w:val="00247898"/>
    <w:rsid w:val="00252674"/>
    <w:rsid w:val="002531AA"/>
    <w:rsid w:val="002533A6"/>
    <w:rsid w:val="00253B9E"/>
    <w:rsid w:val="00253C39"/>
    <w:rsid w:val="00255DB5"/>
    <w:rsid w:val="00255DFB"/>
    <w:rsid w:val="00255FDD"/>
    <w:rsid w:val="00257498"/>
    <w:rsid w:val="002624F5"/>
    <w:rsid w:val="00263976"/>
    <w:rsid w:val="002639D7"/>
    <w:rsid w:val="00263ED3"/>
    <w:rsid w:val="00264921"/>
    <w:rsid w:val="00264BC8"/>
    <w:rsid w:val="00265439"/>
    <w:rsid w:val="00270264"/>
    <w:rsid w:val="0027285A"/>
    <w:rsid w:val="00272C9C"/>
    <w:rsid w:val="00273DC9"/>
    <w:rsid w:val="00280CED"/>
    <w:rsid w:val="002818AC"/>
    <w:rsid w:val="00281BFA"/>
    <w:rsid w:val="00284083"/>
    <w:rsid w:val="00285772"/>
    <w:rsid w:val="002860F4"/>
    <w:rsid w:val="00287364"/>
    <w:rsid w:val="00287516"/>
    <w:rsid w:val="00287D33"/>
    <w:rsid w:val="00291AA4"/>
    <w:rsid w:val="00292A88"/>
    <w:rsid w:val="0029480F"/>
    <w:rsid w:val="002951FC"/>
    <w:rsid w:val="002A1CBA"/>
    <w:rsid w:val="002A4A3B"/>
    <w:rsid w:val="002A5A3A"/>
    <w:rsid w:val="002A5DC6"/>
    <w:rsid w:val="002A6373"/>
    <w:rsid w:val="002B07C7"/>
    <w:rsid w:val="002B1095"/>
    <w:rsid w:val="002B11BE"/>
    <w:rsid w:val="002B2C10"/>
    <w:rsid w:val="002B368A"/>
    <w:rsid w:val="002B3AE8"/>
    <w:rsid w:val="002B44D8"/>
    <w:rsid w:val="002B4986"/>
    <w:rsid w:val="002B4E11"/>
    <w:rsid w:val="002B5026"/>
    <w:rsid w:val="002B56F8"/>
    <w:rsid w:val="002B783E"/>
    <w:rsid w:val="002C1E40"/>
    <w:rsid w:val="002C3811"/>
    <w:rsid w:val="002C39D5"/>
    <w:rsid w:val="002C6DB8"/>
    <w:rsid w:val="002D14F3"/>
    <w:rsid w:val="002D3252"/>
    <w:rsid w:val="002D3E31"/>
    <w:rsid w:val="002D43CF"/>
    <w:rsid w:val="002D4EAD"/>
    <w:rsid w:val="002D5B4C"/>
    <w:rsid w:val="002E04A3"/>
    <w:rsid w:val="002E499D"/>
    <w:rsid w:val="002F3FAE"/>
    <w:rsid w:val="002F4CA7"/>
    <w:rsid w:val="002F6BC2"/>
    <w:rsid w:val="002F756D"/>
    <w:rsid w:val="003000EB"/>
    <w:rsid w:val="00300AC8"/>
    <w:rsid w:val="003013DF"/>
    <w:rsid w:val="0030654E"/>
    <w:rsid w:val="0031167A"/>
    <w:rsid w:val="00312CFF"/>
    <w:rsid w:val="0031334F"/>
    <w:rsid w:val="003140E8"/>
    <w:rsid w:val="00314278"/>
    <w:rsid w:val="003150B0"/>
    <w:rsid w:val="00320D05"/>
    <w:rsid w:val="003211C9"/>
    <w:rsid w:val="00321B25"/>
    <w:rsid w:val="00322939"/>
    <w:rsid w:val="00322C8D"/>
    <w:rsid w:val="003230B3"/>
    <w:rsid w:val="00323F7A"/>
    <w:rsid w:val="003241CB"/>
    <w:rsid w:val="00324758"/>
    <w:rsid w:val="00325727"/>
    <w:rsid w:val="00327656"/>
    <w:rsid w:val="00327A9B"/>
    <w:rsid w:val="003305C3"/>
    <w:rsid w:val="00332A8C"/>
    <w:rsid w:val="00332C78"/>
    <w:rsid w:val="00335026"/>
    <w:rsid w:val="003379B0"/>
    <w:rsid w:val="00340E5F"/>
    <w:rsid w:val="0034618D"/>
    <w:rsid w:val="0034674D"/>
    <w:rsid w:val="00347E2E"/>
    <w:rsid w:val="00351F34"/>
    <w:rsid w:val="00352334"/>
    <w:rsid w:val="003526DC"/>
    <w:rsid w:val="0035309F"/>
    <w:rsid w:val="00353DCF"/>
    <w:rsid w:val="00355478"/>
    <w:rsid w:val="003558AF"/>
    <w:rsid w:val="00355DC7"/>
    <w:rsid w:val="003578EB"/>
    <w:rsid w:val="00357C52"/>
    <w:rsid w:val="0036159C"/>
    <w:rsid w:val="003625B9"/>
    <w:rsid w:val="00362B1B"/>
    <w:rsid w:val="00363049"/>
    <w:rsid w:val="00366F31"/>
    <w:rsid w:val="00367A0D"/>
    <w:rsid w:val="003706ED"/>
    <w:rsid w:val="00371E8A"/>
    <w:rsid w:val="00371EAE"/>
    <w:rsid w:val="0037332C"/>
    <w:rsid w:val="00374BE6"/>
    <w:rsid w:val="0038104D"/>
    <w:rsid w:val="003810E8"/>
    <w:rsid w:val="0038138F"/>
    <w:rsid w:val="00382067"/>
    <w:rsid w:val="00383CE6"/>
    <w:rsid w:val="00384695"/>
    <w:rsid w:val="0038496E"/>
    <w:rsid w:val="00384D96"/>
    <w:rsid w:val="003858E4"/>
    <w:rsid w:val="00385AAD"/>
    <w:rsid w:val="003876CE"/>
    <w:rsid w:val="00390692"/>
    <w:rsid w:val="0039083F"/>
    <w:rsid w:val="00397304"/>
    <w:rsid w:val="003A04AE"/>
    <w:rsid w:val="003A0C22"/>
    <w:rsid w:val="003A0C84"/>
    <w:rsid w:val="003A35CF"/>
    <w:rsid w:val="003A6896"/>
    <w:rsid w:val="003A6A2E"/>
    <w:rsid w:val="003A7CE5"/>
    <w:rsid w:val="003B00A3"/>
    <w:rsid w:val="003B1438"/>
    <w:rsid w:val="003B153D"/>
    <w:rsid w:val="003B2869"/>
    <w:rsid w:val="003B2F31"/>
    <w:rsid w:val="003B2F84"/>
    <w:rsid w:val="003B3145"/>
    <w:rsid w:val="003B5666"/>
    <w:rsid w:val="003B7801"/>
    <w:rsid w:val="003C3120"/>
    <w:rsid w:val="003C456B"/>
    <w:rsid w:val="003C4C8D"/>
    <w:rsid w:val="003C72EE"/>
    <w:rsid w:val="003C7E0D"/>
    <w:rsid w:val="003D15A1"/>
    <w:rsid w:val="003D273D"/>
    <w:rsid w:val="003D3EEA"/>
    <w:rsid w:val="003D7DDF"/>
    <w:rsid w:val="003E093D"/>
    <w:rsid w:val="003E1145"/>
    <w:rsid w:val="003E1657"/>
    <w:rsid w:val="003E2B02"/>
    <w:rsid w:val="003E3C3F"/>
    <w:rsid w:val="003E4112"/>
    <w:rsid w:val="003E4944"/>
    <w:rsid w:val="003E54AE"/>
    <w:rsid w:val="003E6309"/>
    <w:rsid w:val="003E6879"/>
    <w:rsid w:val="003E70DE"/>
    <w:rsid w:val="003E7A09"/>
    <w:rsid w:val="003F1E4A"/>
    <w:rsid w:val="003F20EB"/>
    <w:rsid w:val="003F253D"/>
    <w:rsid w:val="003F2D08"/>
    <w:rsid w:val="003F2DD5"/>
    <w:rsid w:val="003F3ACB"/>
    <w:rsid w:val="003F411D"/>
    <w:rsid w:val="003F430C"/>
    <w:rsid w:val="003F5102"/>
    <w:rsid w:val="003F6033"/>
    <w:rsid w:val="003F614C"/>
    <w:rsid w:val="003F6C3A"/>
    <w:rsid w:val="003F7140"/>
    <w:rsid w:val="003F7E57"/>
    <w:rsid w:val="00400026"/>
    <w:rsid w:val="004024A4"/>
    <w:rsid w:val="0040262E"/>
    <w:rsid w:val="0040291E"/>
    <w:rsid w:val="004035A7"/>
    <w:rsid w:val="00405F52"/>
    <w:rsid w:val="004077BE"/>
    <w:rsid w:val="00407D0E"/>
    <w:rsid w:val="00407DA3"/>
    <w:rsid w:val="00407EEB"/>
    <w:rsid w:val="004106AB"/>
    <w:rsid w:val="00411778"/>
    <w:rsid w:val="00414004"/>
    <w:rsid w:val="00414321"/>
    <w:rsid w:val="00414D8B"/>
    <w:rsid w:val="00414F7A"/>
    <w:rsid w:val="00414F92"/>
    <w:rsid w:val="00420193"/>
    <w:rsid w:val="004204E5"/>
    <w:rsid w:val="0042059A"/>
    <w:rsid w:val="00420701"/>
    <w:rsid w:val="00420745"/>
    <w:rsid w:val="00421F27"/>
    <w:rsid w:val="00422D08"/>
    <w:rsid w:val="00425B94"/>
    <w:rsid w:val="00427DC8"/>
    <w:rsid w:val="00434528"/>
    <w:rsid w:val="004373A6"/>
    <w:rsid w:val="004375FE"/>
    <w:rsid w:val="00437704"/>
    <w:rsid w:val="00440089"/>
    <w:rsid w:val="00440F45"/>
    <w:rsid w:val="004414AC"/>
    <w:rsid w:val="00441B76"/>
    <w:rsid w:val="00443BBF"/>
    <w:rsid w:val="004477C1"/>
    <w:rsid w:val="00447F5B"/>
    <w:rsid w:val="0045072F"/>
    <w:rsid w:val="00450C58"/>
    <w:rsid w:val="004522B2"/>
    <w:rsid w:val="00453445"/>
    <w:rsid w:val="004559A1"/>
    <w:rsid w:val="00456CBD"/>
    <w:rsid w:val="00456F20"/>
    <w:rsid w:val="0045766E"/>
    <w:rsid w:val="004576AA"/>
    <w:rsid w:val="00457BBD"/>
    <w:rsid w:val="00457C55"/>
    <w:rsid w:val="00457D0C"/>
    <w:rsid w:val="00461015"/>
    <w:rsid w:val="00461F41"/>
    <w:rsid w:val="00462325"/>
    <w:rsid w:val="004626F7"/>
    <w:rsid w:val="00462753"/>
    <w:rsid w:val="00464786"/>
    <w:rsid w:val="00464A7E"/>
    <w:rsid w:val="00465078"/>
    <w:rsid w:val="0046507A"/>
    <w:rsid w:val="00466096"/>
    <w:rsid w:val="00467279"/>
    <w:rsid w:val="0047159D"/>
    <w:rsid w:val="00472397"/>
    <w:rsid w:val="0047268E"/>
    <w:rsid w:val="004731EA"/>
    <w:rsid w:val="004743C0"/>
    <w:rsid w:val="004745C5"/>
    <w:rsid w:val="00474666"/>
    <w:rsid w:val="00476D85"/>
    <w:rsid w:val="004779A9"/>
    <w:rsid w:val="0048083A"/>
    <w:rsid w:val="004811F4"/>
    <w:rsid w:val="004857BA"/>
    <w:rsid w:val="00486F40"/>
    <w:rsid w:val="00490EB5"/>
    <w:rsid w:val="00491B56"/>
    <w:rsid w:val="004A0B27"/>
    <w:rsid w:val="004A0C80"/>
    <w:rsid w:val="004A0D5B"/>
    <w:rsid w:val="004A2D23"/>
    <w:rsid w:val="004A305F"/>
    <w:rsid w:val="004A37FB"/>
    <w:rsid w:val="004A3957"/>
    <w:rsid w:val="004A51E8"/>
    <w:rsid w:val="004A608F"/>
    <w:rsid w:val="004A7311"/>
    <w:rsid w:val="004A74BA"/>
    <w:rsid w:val="004B067D"/>
    <w:rsid w:val="004B131E"/>
    <w:rsid w:val="004B4AC8"/>
    <w:rsid w:val="004C1326"/>
    <w:rsid w:val="004C1417"/>
    <w:rsid w:val="004C18ED"/>
    <w:rsid w:val="004C4A6D"/>
    <w:rsid w:val="004C4BDC"/>
    <w:rsid w:val="004C519C"/>
    <w:rsid w:val="004C51B7"/>
    <w:rsid w:val="004D21D7"/>
    <w:rsid w:val="004D4135"/>
    <w:rsid w:val="004D54F5"/>
    <w:rsid w:val="004D7226"/>
    <w:rsid w:val="004E181A"/>
    <w:rsid w:val="004E2FC3"/>
    <w:rsid w:val="004E33AA"/>
    <w:rsid w:val="004E3C80"/>
    <w:rsid w:val="004E532F"/>
    <w:rsid w:val="004E72A1"/>
    <w:rsid w:val="004F118D"/>
    <w:rsid w:val="004F3C24"/>
    <w:rsid w:val="004F434A"/>
    <w:rsid w:val="004F4C94"/>
    <w:rsid w:val="004F5E5F"/>
    <w:rsid w:val="004F756F"/>
    <w:rsid w:val="005001A3"/>
    <w:rsid w:val="005007BF"/>
    <w:rsid w:val="005029B2"/>
    <w:rsid w:val="005036DA"/>
    <w:rsid w:val="00503BE3"/>
    <w:rsid w:val="005052C9"/>
    <w:rsid w:val="00505420"/>
    <w:rsid w:val="00506961"/>
    <w:rsid w:val="00511F61"/>
    <w:rsid w:val="0051496C"/>
    <w:rsid w:val="00514B79"/>
    <w:rsid w:val="00516EB5"/>
    <w:rsid w:val="005175E0"/>
    <w:rsid w:val="00520546"/>
    <w:rsid w:val="00520743"/>
    <w:rsid w:val="00520FEA"/>
    <w:rsid w:val="00521C79"/>
    <w:rsid w:val="00522479"/>
    <w:rsid w:val="00522658"/>
    <w:rsid w:val="00523338"/>
    <w:rsid w:val="0052438A"/>
    <w:rsid w:val="00525201"/>
    <w:rsid w:val="005256AF"/>
    <w:rsid w:val="005260AD"/>
    <w:rsid w:val="00526E67"/>
    <w:rsid w:val="00530CE6"/>
    <w:rsid w:val="00531E00"/>
    <w:rsid w:val="00532C41"/>
    <w:rsid w:val="00533201"/>
    <w:rsid w:val="00534B00"/>
    <w:rsid w:val="0053622E"/>
    <w:rsid w:val="005374AC"/>
    <w:rsid w:val="0053773A"/>
    <w:rsid w:val="005377F6"/>
    <w:rsid w:val="0054190F"/>
    <w:rsid w:val="00541C4C"/>
    <w:rsid w:val="00543232"/>
    <w:rsid w:val="00543F98"/>
    <w:rsid w:val="0054763B"/>
    <w:rsid w:val="00551F8F"/>
    <w:rsid w:val="00552309"/>
    <w:rsid w:val="0055496A"/>
    <w:rsid w:val="00554EA5"/>
    <w:rsid w:val="00557491"/>
    <w:rsid w:val="0055777F"/>
    <w:rsid w:val="005579F6"/>
    <w:rsid w:val="00560250"/>
    <w:rsid w:val="0056106B"/>
    <w:rsid w:val="005613B5"/>
    <w:rsid w:val="00561795"/>
    <w:rsid w:val="00566A02"/>
    <w:rsid w:val="00566C01"/>
    <w:rsid w:val="00567A42"/>
    <w:rsid w:val="00567F78"/>
    <w:rsid w:val="005708A8"/>
    <w:rsid w:val="00573F6F"/>
    <w:rsid w:val="005753F0"/>
    <w:rsid w:val="00580B24"/>
    <w:rsid w:val="00581643"/>
    <w:rsid w:val="00582D4B"/>
    <w:rsid w:val="005849A7"/>
    <w:rsid w:val="00585266"/>
    <w:rsid w:val="005865BB"/>
    <w:rsid w:val="00586A0F"/>
    <w:rsid w:val="005902D9"/>
    <w:rsid w:val="00591229"/>
    <w:rsid w:val="005939CA"/>
    <w:rsid w:val="00594E36"/>
    <w:rsid w:val="00595EA5"/>
    <w:rsid w:val="005969F9"/>
    <w:rsid w:val="00596E2F"/>
    <w:rsid w:val="00596F14"/>
    <w:rsid w:val="00597F88"/>
    <w:rsid w:val="005A0A6F"/>
    <w:rsid w:val="005A28E5"/>
    <w:rsid w:val="005A4773"/>
    <w:rsid w:val="005A4EAA"/>
    <w:rsid w:val="005A532D"/>
    <w:rsid w:val="005A53DB"/>
    <w:rsid w:val="005A6E8F"/>
    <w:rsid w:val="005A7BD4"/>
    <w:rsid w:val="005B0BBC"/>
    <w:rsid w:val="005B0BF3"/>
    <w:rsid w:val="005B14FF"/>
    <w:rsid w:val="005B1CD7"/>
    <w:rsid w:val="005B289F"/>
    <w:rsid w:val="005B2DC1"/>
    <w:rsid w:val="005B3355"/>
    <w:rsid w:val="005B5DFA"/>
    <w:rsid w:val="005C0A7E"/>
    <w:rsid w:val="005C440F"/>
    <w:rsid w:val="005C52BF"/>
    <w:rsid w:val="005C641A"/>
    <w:rsid w:val="005D0472"/>
    <w:rsid w:val="005D0983"/>
    <w:rsid w:val="005D0F52"/>
    <w:rsid w:val="005D1708"/>
    <w:rsid w:val="005D1FCD"/>
    <w:rsid w:val="005D2708"/>
    <w:rsid w:val="005D2869"/>
    <w:rsid w:val="005D4ABB"/>
    <w:rsid w:val="005D4C96"/>
    <w:rsid w:val="005D4CAA"/>
    <w:rsid w:val="005D61B2"/>
    <w:rsid w:val="005D7A04"/>
    <w:rsid w:val="005D7D54"/>
    <w:rsid w:val="005E08FB"/>
    <w:rsid w:val="005E29AA"/>
    <w:rsid w:val="005E35B0"/>
    <w:rsid w:val="005E6B50"/>
    <w:rsid w:val="005E6F1D"/>
    <w:rsid w:val="005F03D4"/>
    <w:rsid w:val="005F2532"/>
    <w:rsid w:val="005F3967"/>
    <w:rsid w:val="005F3A8D"/>
    <w:rsid w:val="005F3B38"/>
    <w:rsid w:val="005F400D"/>
    <w:rsid w:val="005F5031"/>
    <w:rsid w:val="005F603E"/>
    <w:rsid w:val="005F62B1"/>
    <w:rsid w:val="0060058D"/>
    <w:rsid w:val="006005FD"/>
    <w:rsid w:val="00600FE0"/>
    <w:rsid w:val="00602457"/>
    <w:rsid w:val="0060264B"/>
    <w:rsid w:val="00602F6E"/>
    <w:rsid w:val="0060550A"/>
    <w:rsid w:val="006072EA"/>
    <w:rsid w:val="0061342F"/>
    <w:rsid w:val="00613D7E"/>
    <w:rsid w:val="0061407C"/>
    <w:rsid w:val="006147C9"/>
    <w:rsid w:val="00615A64"/>
    <w:rsid w:val="00615AE4"/>
    <w:rsid w:val="00616001"/>
    <w:rsid w:val="006166E4"/>
    <w:rsid w:val="006170D2"/>
    <w:rsid w:val="0062197D"/>
    <w:rsid w:val="00621A6E"/>
    <w:rsid w:val="00622075"/>
    <w:rsid w:val="00623176"/>
    <w:rsid w:val="006231CB"/>
    <w:rsid w:val="0062374F"/>
    <w:rsid w:val="00624196"/>
    <w:rsid w:val="00625078"/>
    <w:rsid w:val="0062509D"/>
    <w:rsid w:val="0062533B"/>
    <w:rsid w:val="00625EF2"/>
    <w:rsid w:val="00625F80"/>
    <w:rsid w:val="00627089"/>
    <w:rsid w:val="00627996"/>
    <w:rsid w:val="00631256"/>
    <w:rsid w:val="00631F2F"/>
    <w:rsid w:val="006326F1"/>
    <w:rsid w:val="00633193"/>
    <w:rsid w:val="0063438C"/>
    <w:rsid w:val="00637A2C"/>
    <w:rsid w:val="00637BFA"/>
    <w:rsid w:val="00637CDC"/>
    <w:rsid w:val="00642468"/>
    <w:rsid w:val="00642959"/>
    <w:rsid w:val="00645AAE"/>
    <w:rsid w:val="00645F42"/>
    <w:rsid w:val="00647610"/>
    <w:rsid w:val="00652482"/>
    <w:rsid w:val="00652686"/>
    <w:rsid w:val="0065320B"/>
    <w:rsid w:val="006537C9"/>
    <w:rsid w:val="006564F5"/>
    <w:rsid w:val="00656CEB"/>
    <w:rsid w:val="006572DB"/>
    <w:rsid w:val="00657589"/>
    <w:rsid w:val="00657B8A"/>
    <w:rsid w:val="00660027"/>
    <w:rsid w:val="00662906"/>
    <w:rsid w:val="006644C6"/>
    <w:rsid w:val="006646E2"/>
    <w:rsid w:val="00666631"/>
    <w:rsid w:val="0067313E"/>
    <w:rsid w:val="00674442"/>
    <w:rsid w:val="00674ACF"/>
    <w:rsid w:val="00676297"/>
    <w:rsid w:val="0067637D"/>
    <w:rsid w:val="00683F57"/>
    <w:rsid w:val="006843DD"/>
    <w:rsid w:val="006863BF"/>
    <w:rsid w:val="006879C9"/>
    <w:rsid w:val="00687B18"/>
    <w:rsid w:val="00690785"/>
    <w:rsid w:val="0069139A"/>
    <w:rsid w:val="00691D59"/>
    <w:rsid w:val="00693300"/>
    <w:rsid w:val="00697064"/>
    <w:rsid w:val="0069744E"/>
    <w:rsid w:val="006A01D7"/>
    <w:rsid w:val="006A0D1F"/>
    <w:rsid w:val="006A0FC7"/>
    <w:rsid w:val="006A1CDE"/>
    <w:rsid w:val="006A1CF1"/>
    <w:rsid w:val="006A1F5B"/>
    <w:rsid w:val="006A2F4C"/>
    <w:rsid w:val="006A437D"/>
    <w:rsid w:val="006A6565"/>
    <w:rsid w:val="006A72D1"/>
    <w:rsid w:val="006B2525"/>
    <w:rsid w:val="006B3F63"/>
    <w:rsid w:val="006B4CD6"/>
    <w:rsid w:val="006B5572"/>
    <w:rsid w:val="006B589F"/>
    <w:rsid w:val="006B5B75"/>
    <w:rsid w:val="006B5CA4"/>
    <w:rsid w:val="006B6916"/>
    <w:rsid w:val="006B7C09"/>
    <w:rsid w:val="006C03D6"/>
    <w:rsid w:val="006C0829"/>
    <w:rsid w:val="006C13C2"/>
    <w:rsid w:val="006C3505"/>
    <w:rsid w:val="006C4961"/>
    <w:rsid w:val="006C5DC3"/>
    <w:rsid w:val="006C66E6"/>
    <w:rsid w:val="006C67B9"/>
    <w:rsid w:val="006C7316"/>
    <w:rsid w:val="006D07A6"/>
    <w:rsid w:val="006D203B"/>
    <w:rsid w:val="006D2304"/>
    <w:rsid w:val="006D2A6D"/>
    <w:rsid w:val="006D2CBF"/>
    <w:rsid w:val="006D4D90"/>
    <w:rsid w:val="006D4FC7"/>
    <w:rsid w:val="006D64FA"/>
    <w:rsid w:val="006D6865"/>
    <w:rsid w:val="006D70FF"/>
    <w:rsid w:val="006D76CD"/>
    <w:rsid w:val="006E1680"/>
    <w:rsid w:val="006E1967"/>
    <w:rsid w:val="006E321C"/>
    <w:rsid w:val="006E4216"/>
    <w:rsid w:val="006F1C29"/>
    <w:rsid w:val="006F289B"/>
    <w:rsid w:val="006F2C3A"/>
    <w:rsid w:val="006F3289"/>
    <w:rsid w:val="006F384E"/>
    <w:rsid w:val="006F3D21"/>
    <w:rsid w:val="006F3DD4"/>
    <w:rsid w:val="006F41D0"/>
    <w:rsid w:val="006F4F4E"/>
    <w:rsid w:val="006F61BE"/>
    <w:rsid w:val="006F678D"/>
    <w:rsid w:val="006F6B2B"/>
    <w:rsid w:val="0070108F"/>
    <w:rsid w:val="007021B6"/>
    <w:rsid w:val="00702264"/>
    <w:rsid w:val="0070296D"/>
    <w:rsid w:val="007042AA"/>
    <w:rsid w:val="007058B7"/>
    <w:rsid w:val="00706775"/>
    <w:rsid w:val="00706DFC"/>
    <w:rsid w:val="007116FE"/>
    <w:rsid w:val="00712912"/>
    <w:rsid w:val="00713109"/>
    <w:rsid w:val="00713C99"/>
    <w:rsid w:val="00715EF6"/>
    <w:rsid w:val="00716472"/>
    <w:rsid w:val="0071670B"/>
    <w:rsid w:val="00721B29"/>
    <w:rsid w:val="00721E7C"/>
    <w:rsid w:val="00721F22"/>
    <w:rsid w:val="00725EF5"/>
    <w:rsid w:val="00726BE5"/>
    <w:rsid w:val="007271FA"/>
    <w:rsid w:val="007278A9"/>
    <w:rsid w:val="007345DF"/>
    <w:rsid w:val="0073488B"/>
    <w:rsid w:val="00736CC6"/>
    <w:rsid w:val="00736D17"/>
    <w:rsid w:val="00740405"/>
    <w:rsid w:val="00740EA2"/>
    <w:rsid w:val="00741459"/>
    <w:rsid w:val="007419EC"/>
    <w:rsid w:val="00741A88"/>
    <w:rsid w:val="00741BB0"/>
    <w:rsid w:val="00743188"/>
    <w:rsid w:val="007433CD"/>
    <w:rsid w:val="00744C89"/>
    <w:rsid w:val="00744E0C"/>
    <w:rsid w:val="00744F6F"/>
    <w:rsid w:val="007452AE"/>
    <w:rsid w:val="00746FA1"/>
    <w:rsid w:val="00747349"/>
    <w:rsid w:val="007507C2"/>
    <w:rsid w:val="00750BBA"/>
    <w:rsid w:val="00750E35"/>
    <w:rsid w:val="00751616"/>
    <w:rsid w:val="00752E51"/>
    <w:rsid w:val="00754828"/>
    <w:rsid w:val="00755030"/>
    <w:rsid w:val="00755678"/>
    <w:rsid w:val="007559FE"/>
    <w:rsid w:val="0075613C"/>
    <w:rsid w:val="00757474"/>
    <w:rsid w:val="00760F1E"/>
    <w:rsid w:val="007616B8"/>
    <w:rsid w:val="00761706"/>
    <w:rsid w:val="007626D3"/>
    <w:rsid w:val="00763114"/>
    <w:rsid w:val="0076599A"/>
    <w:rsid w:val="00765FF7"/>
    <w:rsid w:val="00766775"/>
    <w:rsid w:val="00767578"/>
    <w:rsid w:val="00771E29"/>
    <w:rsid w:val="00774294"/>
    <w:rsid w:val="00774B87"/>
    <w:rsid w:val="00774EE4"/>
    <w:rsid w:val="00774FB0"/>
    <w:rsid w:val="00775B33"/>
    <w:rsid w:val="007844BE"/>
    <w:rsid w:val="0079102B"/>
    <w:rsid w:val="00792345"/>
    <w:rsid w:val="00794512"/>
    <w:rsid w:val="00794A0D"/>
    <w:rsid w:val="00794DF0"/>
    <w:rsid w:val="007A0156"/>
    <w:rsid w:val="007A1EDC"/>
    <w:rsid w:val="007A2B08"/>
    <w:rsid w:val="007A31EB"/>
    <w:rsid w:val="007A3826"/>
    <w:rsid w:val="007A387E"/>
    <w:rsid w:val="007A4758"/>
    <w:rsid w:val="007A6FDA"/>
    <w:rsid w:val="007B079D"/>
    <w:rsid w:val="007B557C"/>
    <w:rsid w:val="007B7D73"/>
    <w:rsid w:val="007C0474"/>
    <w:rsid w:val="007C0818"/>
    <w:rsid w:val="007C1416"/>
    <w:rsid w:val="007C14E9"/>
    <w:rsid w:val="007C16DF"/>
    <w:rsid w:val="007C1DA9"/>
    <w:rsid w:val="007C2E24"/>
    <w:rsid w:val="007C4603"/>
    <w:rsid w:val="007C4D1A"/>
    <w:rsid w:val="007D01E5"/>
    <w:rsid w:val="007D09BB"/>
    <w:rsid w:val="007D0DD5"/>
    <w:rsid w:val="007D19C6"/>
    <w:rsid w:val="007D549A"/>
    <w:rsid w:val="007D649A"/>
    <w:rsid w:val="007D7C3E"/>
    <w:rsid w:val="007E027B"/>
    <w:rsid w:val="007E0E28"/>
    <w:rsid w:val="007E174F"/>
    <w:rsid w:val="007E18CE"/>
    <w:rsid w:val="007E1AAB"/>
    <w:rsid w:val="007E2208"/>
    <w:rsid w:val="007E23D9"/>
    <w:rsid w:val="007E4849"/>
    <w:rsid w:val="007E7D3F"/>
    <w:rsid w:val="007F1C84"/>
    <w:rsid w:val="007F36C8"/>
    <w:rsid w:val="007F3A50"/>
    <w:rsid w:val="007F4772"/>
    <w:rsid w:val="007F63DD"/>
    <w:rsid w:val="007F7A85"/>
    <w:rsid w:val="00800105"/>
    <w:rsid w:val="00800251"/>
    <w:rsid w:val="0080210E"/>
    <w:rsid w:val="00802872"/>
    <w:rsid w:val="00802A0A"/>
    <w:rsid w:val="0080385F"/>
    <w:rsid w:val="00803D62"/>
    <w:rsid w:val="008048E5"/>
    <w:rsid w:val="00806C04"/>
    <w:rsid w:val="008100A9"/>
    <w:rsid w:val="00810D57"/>
    <w:rsid w:val="00811984"/>
    <w:rsid w:val="00812BF9"/>
    <w:rsid w:val="00813688"/>
    <w:rsid w:val="00813C8F"/>
    <w:rsid w:val="008142FD"/>
    <w:rsid w:val="00815712"/>
    <w:rsid w:val="00815A88"/>
    <w:rsid w:val="008164A1"/>
    <w:rsid w:val="00817219"/>
    <w:rsid w:val="00817A23"/>
    <w:rsid w:val="00817AA4"/>
    <w:rsid w:val="00820F8C"/>
    <w:rsid w:val="0082177D"/>
    <w:rsid w:val="0082358A"/>
    <w:rsid w:val="00824E69"/>
    <w:rsid w:val="00824FAD"/>
    <w:rsid w:val="0082509B"/>
    <w:rsid w:val="00832F1E"/>
    <w:rsid w:val="00835601"/>
    <w:rsid w:val="0083685F"/>
    <w:rsid w:val="00837339"/>
    <w:rsid w:val="0083744D"/>
    <w:rsid w:val="00841D94"/>
    <w:rsid w:val="00843F4F"/>
    <w:rsid w:val="00844A23"/>
    <w:rsid w:val="00845A36"/>
    <w:rsid w:val="00847AA7"/>
    <w:rsid w:val="008517E1"/>
    <w:rsid w:val="00851BCB"/>
    <w:rsid w:val="00855EEF"/>
    <w:rsid w:val="00857659"/>
    <w:rsid w:val="00860504"/>
    <w:rsid w:val="00862056"/>
    <w:rsid w:val="0086315C"/>
    <w:rsid w:val="008647B5"/>
    <w:rsid w:val="00864CBC"/>
    <w:rsid w:val="00865B3F"/>
    <w:rsid w:val="0086661F"/>
    <w:rsid w:val="0086694B"/>
    <w:rsid w:val="00867A19"/>
    <w:rsid w:val="00867D81"/>
    <w:rsid w:val="0087092A"/>
    <w:rsid w:val="0087150A"/>
    <w:rsid w:val="0087211E"/>
    <w:rsid w:val="00873785"/>
    <w:rsid w:val="008741BC"/>
    <w:rsid w:val="00874A56"/>
    <w:rsid w:val="00875CF8"/>
    <w:rsid w:val="008814B9"/>
    <w:rsid w:val="0088393A"/>
    <w:rsid w:val="00885946"/>
    <w:rsid w:val="00885C46"/>
    <w:rsid w:val="00890DA4"/>
    <w:rsid w:val="00892F8A"/>
    <w:rsid w:val="0089426E"/>
    <w:rsid w:val="008948D4"/>
    <w:rsid w:val="00895096"/>
    <w:rsid w:val="008955E2"/>
    <w:rsid w:val="00896EA4"/>
    <w:rsid w:val="00897546"/>
    <w:rsid w:val="008A002B"/>
    <w:rsid w:val="008A1FB3"/>
    <w:rsid w:val="008A255F"/>
    <w:rsid w:val="008A2B76"/>
    <w:rsid w:val="008A2FCC"/>
    <w:rsid w:val="008A42AD"/>
    <w:rsid w:val="008A4D9B"/>
    <w:rsid w:val="008A52D3"/>
    <w:rsid w:val="008A54D6"/>
    <w:rsid w:val="008A65DF"/>
    <w:rsid w:val="008A7199"/>
    <w:rsid w:val="008A788A"/>
    <w:rsid w:val="008B2F7C"/>
    <w:rsid w:val="008B2FB4"/>
    <w:rsid w:val="008B51C1"/>
    <w:rsid w:val="008B535B"/>
    <w:rsid w:val="008B79A5"/>
    <w:rsid w:val="008C03B4"/>
    <w:rsid w:val="008C055E"/>
    <w:rsid w:val="008C1BF6"/>
    <w:rsid w:val="008C3D7F"/>
    <w:rsid w:val="008C3EDE"/>
    <w:rsid w:val="008C4C33"/>
    <w:rsid w:val="008C5353"/>
    <w:rsid w:val="008C7D9E"/>
    <w:rsid w:val="008D21C5"/>
    <w:rsid w:val="008D32F9"/>
    <w:rsid w:val="008D3CC2"/>
    <w:rsid w:val="008D3E27"/>
    <w:rsid w:val="008D586A"/>
    <w:rsid w:val="008D5AC1"/>
    <w:rsid w:val="008D6151"/>
    <w:rsid w:val="008D77EC"/>
    <w:rsid w:val="008D77F8"/>
    <w:rsid w:val="008E10A0"/>
    <w:rsid w:val="008E1BEB"/>
    <w:rsid w:val="008E1DE7"/>
    <w:rsid w:val="008E3D20"/>
    <w:rsid w:val="008E45C0"/>
    <w:rsid w:val="008E517D"/>
    <w:rsid w:val="008E6DF6"/>
    <w:rsid w:val="008E7E06"/>
    <w:rsid w:val="008F0C24"/>
    <w:rsid w:val="008F0DB6"/>
    <w:rsid w:val="008F132A"/>
    <w:rsid w:val="008F2129"/>
    <w:rsid w:val="008F2281"/>
    <w:rsid w:val="008F24FD"/>
    <w:rsid w:val="0090068E"/>
    <w:rsid w:val="00900A45"/>
    <w:rsid w:val="00900D2C"/>
    <w:rsid w:val="00901C5D"/>
    <w:rsid w:val="009020BA"/>
    <w:rsid w:val="009030AC"/>
    <w:rsid w:val="009059FB"/>
    <w:rsid w:val="009060D6"/>
    <w:rsid w:val="00906F95"/>
    <w:rsid w:val="009104EE"/>
    <w:rsid w:val="00910677"/>
    <w:rsid w:val="0091129F"/>
    <w:rsid w:val="009113B9"/>
    <w:rsid w:val="00912103"/>
    <w:rsid w:val="00912C1C"/>
    <w:rsid w:val="009145C7"/>
    <w:rsid w:val="00916232"/>
    <w:rsid w:val="00916CDA"/>
    <w:rsid w:val="00917064"/>
    <w:rsid w:val="00917B0B"/>
    <w:rsid w:val="0092098B"/>
    <w:rsid w:val="00920C7B"/>
    <w:rsid w:val="0092177D"/>
    <w:rsid w:val="00921AB6"/>
    <w:rsid w:val="0092263C"/>
    <w:rsid w:val="00922FBB"/>
    <w:rsid w:val="009235D6"/>
    <w:rsid w:val="00926614"/>
    <w:rsid w:val="00927E8A"/>
    <w:rsid w:val="0093236F"/>
    <w:rsid w:val="0093242B"/>
    <w:rsid w:val="00932AEA"/>
    <w:rsid w:val="00932BC5"/>
    <w:rsid w:val="009351D5"/>
    <w:rsid w:val="00936015"/>
    <w:rsid w:val="009361F9"/>
    <w:rsid w:val="00936660"/>
    <w:rsid w:val="00937BF1"/>
    <w:rsid w:val="00937F0E"/>
    <w:rsid w:val="00941D3A"/>
    <w:rsid w:val="00942712"/>
    <w:rsid w:val="0094520F"/>
    <w:rsid w:val="00945A79"/>
    <w:rsid w:val="00950EF8"/>
    <w:rsid w:val="00951444"/>
    <w:rsid w:val="00952014"/>
    <w:rsid w:val="0095743E"/>
    <w:rsid w:val="009623A6"/>
    <w:rsid w:val="00963176"/>
    <w:rsid w:val="00963D1F"/>
    <w:rsid w:val="00964308"/>
    <w:rsid w:val="00964587"/>
    <w:rsid w:val="00964B1D"/>
    <w:rsid w:val="00965F1F"/>
    <w:rsid w:val="00966430"/>
    <w:rsid w:val="009700FD"/>
    <w:rsid w:val="00970763"/>
    <w:rsid w:val="00970975"/>
    <w:rsid w:val="009711E2"/>
    <w:rsid w:val="009734A6"/>
    <w:rsid w:val="009749A8"/>
    <w:rsid w:val="00976970"/>
    <w:rsid w:val="00976D4F"/>
    <w:rsid w:val="009779A0"/>
    <w:rsid w:val="0098034C"/>
    <w:rsid w:val="0098630E"/>
    <w:rsid w:val="00986A5E"/>
    <w:rsid w:val="00990218"/>
    <w:rsid w:val="00990549"/>
    <w:rsid w:val="00991230"/>
    <w:rsid w:val="009927B8"/>
    <w:rsid w:val="00993B07"/>
    <w:rsid w:val="00994C26"/>
    <w:rsid w:val="009968EE"/>
    <w:rsid w:val="00996B1C"/>
    <w:rsid w:val="009977AB"/>
    <w:rsid w:val="009A0482"/>
    <w:rsid w:val="009A06C4"/>
    <w:rsid w:val="009A33D8"/>
    <w:rsid w:val="009A34B1"/>
    <w:rsid w:val="009A353A"/>
    <w:rsid w:val="009A4878"/>
    <w:rsid w:val="009A5449"/>
    <w:rsid w:val="009A59C4"/>
    <w:rsid w:val="009B0F58"/>
    <w:rsid w:val="009B24A2"/>
    <w:rsid w:val="009B3549"/>
    <w:rsid w:val="009B3C67"/>
    <w:rsid w:val="009B3CA7"/>
    <w:rsid w:val="009B41B2"/>
    <w:rsid w:val="009B4ECD"/>
    <w:rsid w:val="009B5FBE"/>
    <w:rsid w:val="009B6DFA"/>
    <w:rsid w:val="009B72B5"/>
    <w:rsid w:val="009B777D"/>
    <w:rsid w:val="009B7EF6"/>
    <w:rsid w:val="009C259F"/>
    <w:rsid w:val="009C32E6"/>
    <w:rsid w:val="009C3448"/>
    <w:rsid w:val="009C38EB"/>
    <w:rsid w:val="009C423A"/>
    <w:rsid w:val="009C4EC3"/>
    <w:rsid w:val="009C6D7D"/>
    <w:rsid w:val="009C7248"/>
    <w:rsid w:val="009C754D"/>
    <w:rsid w:val="009D189D"/>
    <w:rsid w:val="009D79FE"/>
    <w:rsid w:val="009D7D8D"/>
    <w:rsid w:val="009E04DD"/>
    <w:rsid w:val="009E2D8A"/>
    <w:rsid w:val="009E30ED"/>
    <w:rsid w:val="009E3ACB"/>
    <w:rsid w:val="009E51CF"/>
    <w:rsid w:val="009E7939"/>
    <w:rsid w:val="009F0485"/>
    <w:rsid w:val="009F05D0"/>
    <w:rsid w:val="009F05D8"/>
    <w:rsid w:val="009F0896"/>
    <w:rsid w:val="009F13FC"/>
    <w:rsid w:val="009F1ABF"/>
    <w:rsid w:val="009F42A7"/>
    <w:rsid w:val="009F495F"/>
    <w:rsid w:val="009F5D3C"/>
    <w:rsid w:val="009F5DC6"/>
    <w:rsid w:val="009F6578"/>
    <w:rsid w:val="00A00805"/>
    <w:rsid w:val="00A00C54"/>
    <w:rsid w:val="00A01289"/>
    <w:rsid w:val="00A0258F"/>
    <w:rsid w:val="00A03E08"/>
    <w:rsid w:val="00A041A9"/>
    <w:rsid w:val="00A07085"/>
    <w:rsid w:val="00A10A53"/>
    <w:rsid w:val="00A1175D"/>
    <w:rsid w:val="00A117BE"/>
    <w:rsid w:val="00A13085"/>
    <w:rsid w:val="00A13DA3"/>
    <w:rsid w:val="00A13FE7"/>
    <w:rsid w:val="00A15670"/>
    <w:rsid w:val="00A22C6A"/>
    <w:rsid w:val="00A232C1"/>
    <w:rsid w:val="00A24727"/>
    <w:rsid w:val="00A25F23"/>
    <w:rsid w:val="00A26141"/>
    <w:rsid w:val="00A26CD8"/>
    <w:rsid w:val="00A31FEE"/>
    <w:rsid w:val="00A32194"/>
    <w:rsid w:val="00A321DD"/>
    <w:rsid w:val="00A32665"/>
    <w:rsid w:val="00A330AB"/>
    <w:rsid w:val="00A334AB"/>
    <w:rsid w:val="00A33CF4"/>
    <w:rsid w:val="00A34F6C"/>
    <w:rsid w:val="00A37803"/>
    <w:rsid w:val="00A37976"/>
    <w:rsid w:val="00A40107"/>
    <w:rsid w:val="00A42B2E"/>
    <w:rsid w:val="00A430A8"/>
    <w:rsid w:val="00A43965"/>
    <w:rsid w:val="00A43A8F"/>
    <w:rsid w:val="00A43B37"/>
    <w:rsid w:val="00A4515C"/>
    <w:rsid w:val="00A452C8"/>
    <w:rsid w:val="00A46AF1"/>
    <w:rsid w:val="00A46B49"/>
    <w:rsid w:val="00A47EA0"/>
    <w:rsid w:val="00A505FF"/>
    <w:rsid w:val="00A518F6"/>
    <w:rsid w:val="00A53F48"/>
    <w:rsid w:val="00A543F4"/>
    <w:rsid w:val="00A546B8"/>
    <w:rsid w:val="00A54972"/>
    <w:rsid w:val="00A54DEC"/>
    <w:rsid w:val="00A5544B"/>
    <w:rsid w:val="00A5549C"/>
    <w:rsid w:val="00A55ECB"/>
    <w:rsid w:val="00A579F8"/>
    <w:rsid w:val="00A57B57"/>
    <w:rsid w:val="00A60353"/>
    <w:rsid w:val="00A619D8"/>
    <w:rsid w:val="00A61BC5"/>
    <w:rsid w:val="00A6251F"/>
    <w:rsid w:val="00A62C43"/>
    <w:rsid w:val="00A64943"/>
    <w:rsid w:val="00A653F3"/>
    <w:rsid w:val="00A66CEE"/>
    <w:rsid w:val="00A675B4"/>
    <w:rsid w:val="00A67E15"/>
    <w:rsid w:val="00A70C5E"/>
    <w:rsid w:val="00A7225A"/>
    <w:rsid w:val="00A72D1F"/>
    <w:rsid w:val="00A779CA"/>
    <w:rsid w:val="00A813C4"/>
    <w:rsid w:val="00A82521"/>
    <w:rsid w:val="00A82ABE"/>
    <w:rsid w:val="00A86F59"/>
    <w:rsid w:val="00A871A3"/>
    <w:rsid w:val="00A87787"/>
    <w:rsid w:val="00A90431"/>
    <w:rsid w:val="00A91028"/>
    <w:rsid w:val="00A91101"/>
    <w:rsid w:val="00A91276"/>
    <w:rsid w:val="00A92C58"/>
    <w:rsid w:val="00A93505"/>
    <w:rsid w:val="00A9386A"/>
    <w:rsid w:val="00A94BDF"/>
    <w:rsid w:val="00A95347"/>
    <w:rsid w:val="00A956EB"/>
    <w:rsid w:val="00A957D4"/>
    <w:rsid w:val="00A95FC3"/>
    <w:rsid w:val="00AA0970"/>
    <w:rsid w:val="00AA0D55"/>
    <w:rsid w:val="00AA1570"/>
    <w:rsid w:val="00AA455F"/>
    <w:rsid w:val="00AA53E5"/>
    <w:rsid w:val="00AA5E49"/>
    <w:rsid w:val="00AA6809"/>
    <w:rsid w:val="00AB01D5"/>
    <w:rsid w:val="00AB07FF"/>
    <w:rsid w:val="00AB16D9"/>
    <w:rsid w:val="00AB3514"/>
    <w:rsid w:val="00AB41A5"/>
    <w:rsid w:val="00AB4FF0"/>
    <w:rsid w:val="00AB5A0B"/>
    <w:rsid w:val="00AB7E38"/>
    <w:rsid w:val="00AC0185"/>
    <w:rsid w:val="00AC0199"/>
    <w:rsid w:val="00AC0670"/>
    <w:rsid w:val="00AC097F"/>
    <w:rsid w:val="00AC0CAA"/>
    <w:rsid w:val="00AC70EA"/>
    <w:rsid w:val="00AC7E8C"/>
    <w:rsid w:val="00AD2D89"/>
    <w:rsid w:val="00AD43DC"/>
    <w:rsid w:val="00AE002C"/>
    <w:rsid w:val="00AE0EAD"/>
    <w:rsid w:val="00AE29F7"/>
    <w:rsid w:val="00AE4236"/>
    <w:rsid w:val="00AE480C"/>
    <w:rsid w:val="00AE51B0"/>
    <w:rsid w:val="00AE588B"/>
    <w:rsid w:val="00AE591A"/>
    <w:rsid w:val="00AE7F3B"/>
    <w:rsid w:val="00AF259B"/>
    <w:rsid w:val="00AF31A5"/>
    <w:rsid w:val="00AF3225"/>
    <w:rsid w:val="00AF3D5A"/>
    <w:rsid w:val="00AF712B"/>
    <w:rsid w:val="00B01547"/>
    <w:rsid w:val="00B01889"/>
    <w:rsid w:val="00B02B08"/>
    <w:rsid w:val="00B0348F"/>
    <w:rsid w:val="00B059BD"/>
    <w:rsid w:val="00B05B69"/>
    <w:rsid w:val="00B078EC"/>
    <w:rsid w:val="00B104BA"/>
    <w:rsid w:val="00B10CAB"/>
    <w:rsid w:val="00B10FFA"/>
    <w:rsid w:val="00B11671"/>
    <w:rsid w:val="00B1182E"/>
    <w:rsid w:val="00B11C79"/>
    <w:rsid w:val="00B123C0"/>
    <w:rsid w:val="00B15D1F"/>
    <w:rsid w:val="00B16A62"/>
    <w:rsid w:val="00B16BA1"/>
    <w:rsid w:val="00B17D73"/>
    <w:rsid w:val="00B20C71"/>
    <w:rsid w:val="00B20D0D"/>
    <w:rsid w:val="00B20FC6"/>
    <w:rsid w:val="00B21927"/>
    <w:rsid w:val="00B23BEE"/>
    <w:rsid w:val="00B24C34"/>
    <w:rsid w:val="00B27969"/>
    <w:rsid w:val="00B27F6B"/>
    <w:rsid w:val="00B30292"/>
    <w:rsid w:val="00B303D1"/>
    <w:rsid w:val="00B30409"/>
    <w:rsid w:val="00B3232C"/>
    <w:rsid w:val="00B32559"/>
    <w:rsid w:val="00B338EC"/>
    <w:rsid w:val="00B33E6E"/>
    <w:rsid w:val="00B342A2"/>
    <w:rsid w:val="00B345B0"/>
    <w:rsid w:val="00B35201"/>
    <w:rsid w:val="00B35DEE"/>
    <w:rsid w:val="00B368BD"/>
    <w:rsid w:val="00B36C5A"/>
    <w:rsid w:val="00B36D65"/>
    <w:rsid w:val="00B37B70"/>
    <w:rsid w:val="00B40294"/>
    <w:rsid w:val="00B404D4"/>
    <w:rsid w:val="00B42C82"/>
    <w:rsid w:val="00B42CF6"/>
    <w:rsid w:val="00B42E13"/>
    <w:rsid w:val="00B4307D"/>
    <w:rsid w:val="00B43B19"/>
    <w:rsid w:val="00B43F8D"/>
    <w:rsid w:val="00B4503E"/>
    <w:rsid w:val="00B46126"/>
    <w:rsid w:val="00B50FDA"/>
    <w:rsid w:val="00B512FE"/>
    <w:rsid w:val="00B52794"/>
    <w:rsid w:val="00B53139"/>
    <w:rsid w:val="00B53E85"/>
    <w:rsid w:val="00B547E5"/>
    <w:rsid w:val="00B54837"/>
    <w:rsid w:val="00B54C9E"/>
    <w:rsid w:val="00B5556A"/>
    <w:rsid w:val="00B560AA"/>
    <w:rsid w:val="00B56E3D"/>
    <w:rsid w:val="00B57A30"/>
    <w:rsid w:val="00B61ED5"/>
    <w:rsid w:val="00B63086"/>
    <w:rsid w:val="00B67DC9"/>
    <w:rsid w:val="00B7299D"/>
    <w:rsid w:val="00B7385F"/>
    <w:rsid w:val="00B74EDD"/>
    <w:rsid w:val="00B75411"/>
    <w:rsid w:val="00B756D9"/>
    <w:rsid w:val="00B762E9"/>
    <w:rsid w:val="00B80490"/>
    <w:rsid w:val="00B80578"/>
    <w:rsid w:val="00B82E1E"/>
    <w:rsid w:val="00B82F92"/>
    <w:rsid w:val="00B86834"/>
    <w:rsid w:val="00B86897"/>
    <w:rsid w:val="00B91541"/>
    <w:rsid w:val="00B92219"/>
    <w:rsid w:val="00B9399D"/>
    <w:rsid w:val="00B94258"/>
    <w:rsid w:val="00B94DAE"/>
    <w:rsid w:val="00B978C6"/>
    <w:rsid w:val="00BA11F0"/>
    <w:rsid w:val="00BA13A3"/>
    <w:rsid w:val="00BA1C0F"/>
    <w:rsid w:val="00BA2129"/>
    <w:rsid w:val="00BA2827"/>
    <w:rsid w:val="00BA3761"/>
    <w:rsid w:val="00BA4E90"/>
    <w:rsid w:val="00BA54D0"/>
    <w:rsid w:val="00BA5B76"/>
    <w:rsid w:val="00BA6C68"/>
    <w:rsid w:val="00BA7161"/>
    <w:rsid w:val="00BB0066"/>
    <w:rsid w:val="00BB1568"/>
    <w:rsid w:val="00BB1C99"/>
    <w:rsid w:val="00BB2910"/>
    <w:rsid w:val="00BB3016"/>
    <w:rsid w:val="00BB368C"/>
    <w:rsid w:val="00BB39B5"/>
    <w:rsid w:val="00BB6B7A"/>
    <w:rsid w:val="00BB74CD"/>
    <w:rsid w:val="00BB7985"/>
    <w:rsid w:val="00BC14C3"/>
    <w:rsid w:val="00BC1CBA"/>
    <w:rsid w:val="00BC1D4E"/>
    <w:rsid w:val="00BC2B68"/>
    <w:rsid w:val="00BC3AEA"/>
    <w:rsid w:val="00BC4859"/>
    <w:rsid w:val="00BC4AD8"/>
    <w:rsid w:val="00BC4B8D"/>
    <w:rsid w:val="00BC5470"/>
    <w:rsid w:val="00BC55DF"/>
    <w:rsid w:val="00BC575F"/>
    <w:rsid w:val="00BC6F10"/>
    <w:rsid w:val="00BC753F"/>
    <w:rsid w:val="00BC781E"/>
    <w:rsid w:val="00BC7E81"/>
    <w:rsid w:val="00BD0BF3"/>
    <w:rsid w:val="00BD19FE"/>
    <w:rsid w:val="00BD1DC3"/>
    <w:rsid w:val="00BD21BC"/>
    <w:rsid w:val="00BD35FE"/>
    <w:rsid w:val="00BD48C2"/>
    <w:rsid w:val="00BD6669"/>
    <w:rsid w:val="00BD685D"/>
    <w:rsid w:val="00BD6ADD"/>
    <w:rsid w:val="00BD725C"/>
    <w:rsid w:val="00BE26FE"/>
    <w:rsid w:val="00BE27FF"/>
    <w:rsid w:val="00BE3079"/>
    <w:rsid w:val="00BE34A0"/>
    <w:rsid w:val="00BE35B5"/>
    <w:rsid w:val="00BE52AB"/>
    <w:rsid w:val="00BE5A19"/>
    <w:rsid w:val="00BE62E3"/>
    <w:rsid w:val="00BE7448"/>
    <w:rsid w:val="00BF13D0"/>
    <w:rsid w:val="00BF1B7F"/>
    <w:rsid w:val="00BF30DA"/>
    <w:rsid w:val="00BF3234"/>
    <w:rsid w:val="00BF408A"/>
    <w:rsid w:val="00BF45E6"/>
    <w:rsid w:val="00BF48D5"/>
    <w:rsid w:val="00BF7577"/>
    <w:rsid w:val="00BF7735"/>
    <w:rsid w:val="00BF7DEE"/>
    <w:rsid w:val="00C01D84"/>
    <w:rsid w:val="00C03D8A"/>
    <w:rsid w:val="00C05A4D"/>
    <w:rsid w:val="00C06B72"/>
    <w:rsid w:val="00C06C6D"/>
    <w:rsid w:val="00C10807"/>
    <w:rsid w:val="00C108F7"/>
    <w:rsid w:val="00C1178C"/>
    <w:rsid w:val="00C136DA"/>
    <w:rsid w:val="00C139AF"/>
    <w:rsid w:val="00C151B5"/>
    <w:rsid w:val="00C15DA3"/>
    <w:rsid w:val="00C1622F"/>
    <w:rsid w:val="00C2030F"/>
    <w:rsid w:val="00C21572"/>
    <w:rsid w:val="00C215CE"/>
    <w:rsid w:val="00C264AE"/>
    <w:rsid w:val="00C271CB"/>
    <w:rsid w:val="00C27207"/>
    <w:rsid w:val="00C274A5"/>
    <w:rsid w:val="00C31E7E"/>
    <w:rsid w:val="00C32BEC"/>
    <w:rsid w:val="00C32E00"/>
    <w:rsid w:val="00C35FF3"/>
    <w:rsid w:val="00C40D77"/>
    <w:rsid w:val="00C4362F"/>
    <w:rsid w:val="00C44055"/>
    <w:rsid w:val="00C46124"/>
    <w:rsid w:val="00C46ABE"/>
    <w:rsid w:val="00C5158D"/>
    <w:rsid w:val="00C5161E"/>
    <w:rsid w:val="00C54B8E"/>
    <w:rsid w:val="00C557F9"/>
    <w:rsid w:val="00C56CFE"/>
    <w:rsid w:val="00C57D97"/>
    <w:rsid w:val="00C601F3"/>
    <w:rsid w:val="00C60387"/>
    <w:rsid w:val="00C612ED"/>
    <w:rsid w:val="00C619B7"/>
    <w:rsid w:val="00C61AF2"/>
    <w:rsid w:val="00C61E0D"/>
    <w:rsid w:val="00C63025"/>
    <w:rsid w:val="00C63573"/>
    <w:rsid w:val="00C63872"/>
    <w:rsid w:val="00C63D4C"/>
    <w:rsid w:val="00C642B4"/>
    <w:rsid w:val="00C64E99"/>
    <w:rsid w:val="00C6550E"/>
    <w:rsid w:val="00C66C03"/>
    <w:rsid w:val="00C66CB0"/>
    <w:rsid w:val="00C66D74"/>
    <w:rsid w:val="00C6766C"/>
    <w:rsid w:val="00C678D0"/>
    <w:rsid w:val="00C7237D"/>
    <w:rsid w:val="00C72AC1"/>
    <w:rsid w:val="00C72B6F"/>
    <w:rsid w:val="00C76944"/>
    <w:rsid w:val="00C76A41"/>
    <w:rsid w:val="00C76D1D"/>
    <w:rsid w:val="00C77172"/>
    <w:rsid w:val="00C80606"/>
    <w:rsid w:val="00C80A95"/>
    <w:rsid w:val="00C83C20"/>
    <w:rsid w:val="00C83EE9"/>
    <w:rsid w:val="00C83F7B"/>
    <w:rsid w:val="00C841B2"/>
    <w:rsid w:val="00C90FA5"/>
    <w:rsid w:val="00C91AC8"/>
    <w:rsid w:val="00C91EE1"/>
    <w:rsid w:val="00C9290C"/>
    <w:rsid w:val="00C937D7"/>
    <w:rsid w:val="00C9396A"/>
    <w:rsid w:val="00C94045"/>
    <w:rsid w:val="00C94174"/>
    <w:rsid w:val="00C94C38"/>
    <w:rsid w:val="00C94DAB"/>
    <w:rsid w:val="00C975B5"/>
    <w:rsid w:val="00CA0081"/>
    <w:rsid w:val="00CA1366"/>
    <w:rsid w:val="00CA17BB"/>
    <w:rsid w:val="00CA388A"/>
    <w:rsid w:val="00CA53DD"/>
    <w:rsid w:val="00CB7C76"/>
    <w:rsid w:val="00CC16D1"/>
    <w:rsid w:val="00CC1987"/>
    <w:rsid w:val="00CC2F48"/>
    <w:rsid w:val="00CC3A8B"/>
    <w:rsid w:val="00CC5EEF"/>
    <w:rsid w:val="00CC5FEC"/>
    <w:rsid w:val="00CD010D"/>
    <w:rsid w:val="00CD0C86"/>
    <w:rsid w:val="00CD10D7"/>
    <w:rsid w:val="00CD2FDC"/>
    <w:rsid w:val="00CD33AF"/>
    <w:rsid w:val="00CD4CC6"/>
    <w:rsid w:val="00CD7F35"/>
    <w:rsid w:val="00CE032A"/>
    <w:rsid w:val="00CE0BC2"/>
    <w:rsid w:val="00CE1EB6"/>
    <w:rsid w:val="00CE3CF9"/>
    <w:rsid w:val="00CE42C7"/>
    <w:rsid w:val="00CE50F7"/>
    <w:rsid w:val="00CE76DE"/>
    <w:rsid w:val="00CF0985"/>
    <w:rsid w:val="00CF406D"/>
    <w:rsid w:val="00CF5C38"/>
    <w:rsid w:val="00CF693D"/>
    <w:rsid w:val="00CF6EA4"/>
    <w:rsid w:val="00D027C4"/>
    <w:rsid w:val="00D03E61"/>
    <w:rsid w:val="00D04275"/>
    <w:rsid w:val="00D0752F"/>
    <w:rsid w:val="00D075B0"/>
    <w:rsid w:val="00D07E43"/>
    <w:rsid w:val="00D102BF"/>
    <w:rsid w:val="00D1130E"/>
    <w:rsid w:val="00D12234"/>
    <w:rsid w:val="00D1289F"/>
    <w:rsid w:val="00D138FB"/>
    <w:rsid w:val="00D13E68"/>
    <w:rsid w:val="00D15371"/>
    <w:rsid w:val="00D15415"/>
    <w:rsid w:val="00D17873"/>
    <w:rsid w:val="00D207FE"/>
    <w:rsid w:val="00D22A9C"/>
    <w:rsid w:val="00D24299"/>
    <w:rsid w:val="00D306B4"/>
    <w:rsid w:val="00D30BF6"/>
    <w:rsid w:val="00D315D9"/>
    <w:rsid w:val="00D31CCC"/>
    <w:rsid w:val="00D3474C"/>
    <w:rsid w:val="00D36A9A"/>
    <w:rsid w:val="00D37234"/>
    <w:rsid w:val="00D37A98"/>
    <w:rsid w:val="00D40C39"/>
    <w:rsid w:val="00D429D7"/>
    <w:rsid w:val="00D43574"/>
    <w:rsid w:val="00D439C6"/>
    <w:rsid w:val="00D45E82"/>
    <w:rsid w:val="00D4600C"/>
    <w:rsid w:val="00D47ECA"/>
    <w:rsid w:val="00D50EC0"/>
    <w:rsid w:val="00D5314D"/>
    <w:rsid w:val="00D54324"/>
    <w:rsid w:val="00D5441B"/>
    <w:rsid w:val="00D548D6"/>
    <w:rsid w:val="00D56098"/>
    <w:rsid w:val="00D5682F"/>
    <w:rsid w:val="00D57B31"/>
    <w:rsid w:val="00D651BE"/>
    <w:rsid w:val="00D65E01"/>
    <w:rsid w:val="00D66A83"/>
    <w:rsid w:val="00D66B12"/>
    <w:rsid w:val="00D67318"/>
    <w:rsid w:val="00D71D98"/>
    <w:rsid w:val="00D7289E"/>
    <w:rsid w:val="00D74C26"/>
    <w:rsid w:val="00D7527C"/>
    <w:rsid w:val="00D7594C"/>
    <w:rsid w:val="00D778A5"/>
    <w:rsid w:val="00D80458"/>
    <w:rsid w:val="00D81065"/>
    <w:rsid w:val="00D814D8"/>
    <w:rsid w:val="00D82507"/>
    <w:rsid w:val="00D86EBF"/>
    <w:rsid w:val="00D9053A"/>
    <w:rsid w:val="00D90EF4"/>
    <w:rsid w:val="00D912D7"/>
    <w:rsid w:val="00D928E7"/>
    <w:rsid w:val="00D92984"/>
    <w:rsid w:val="00D92CF7"/>
    <w:rsid w:val="00D9457D"/>
    <w:rsid w:val="00D94721"/>
    <w:rsid w:val="00D95AE0"/>
    <w:rsid w:val="00D96F37"/>
    <w:rsid w:val="00D97974"/>
    <w:rsid w:val="00DA1A02"/>
    <w:rsid w:val="00DA2742"/>
    <w:rsid w:val="00DA29FE"/>
    <w:rsid w:val="00DA3754"/>
    <w:rsid w:val="00DA3CD3"/>
    <w:rsid w:val="00DA450C"/>
    <w:rsid w:val="00DA5704"/>
    <w:rsid w:val="00DA626A"/>
    <w:rsid w:val="00DA713C"/>
    <w:rsid w:val="00DA7D1C"/>
    <w:rsid w:val="00DB2D27"/>
    <w:rsid w:val="00DB2E50"/>
    <w:rsid w:val="00DB301B"/>
    <w:rsid w:val="00DB364B"/>
    <w:rsid w:val="00DB4EF0"/>
    <w:rsid w:val="00DB5064"/>
    <w:rsid w:val="00DB59C7"/>
    <w:rsid w:val="00DB6238"/>
    <w:rsid w:val="00DB62F7"/>
    <w:rsid w:val="00DB7540"/>
    <w:rsid w:val="00DC0767"/>
    <w:rsid w:val="00DC1171"/>
    <w:rsid w:val="00DC4F7A"/>
    <w:rsid w:val="00DC6EC7"/>
    <w:rsid w:val="00DC7553"/>
    <w:rsid w:val="00DD0097"/>
    <w:rsid w:val="00DD1560"/>
    <w:rsid w:val="00DD2156"/>
    <w:rsid w:val="00DD2460"/>
    <w:rsid w:val="00DD3391"/>
    <w:rsid w:val="00DD406A"/>
    <w:rsid w:val="00DD5381"/>
    <w:rsid w:val="00DD66B3"/>
    <w:rsid w:val="00DD7B80"/>
    <w:rsid w:val="00DD7DFA"/>
    <w:rsid w:val="00DE0DA6"/>
    <w:rsid w:val="00DE2BD4"/>
    <w:rsid w:val="00DE32CE"/>
    <w:rsid w:val="00DE35EB"/>
    <w:rsid w:val="00DE3C38"/>
    <w:rsid w:val="00DE48BD"/>
    <w:rsid w:val="00DF098F"/>
    <w:rsid w:val="00DF438D"/>
    <w:rsid w:val="00E01159"/>
    <w:rsid w:val="00E0181E"/>
    <w:rsid w:val="00E042B7"/>
    <w:rsid w:val="00E05F99"/>
    <w:rsid w:val="00E06073"/>
    <w:rsid w:val="00E06960"/>
    <w:rsid w:val="00E07950"/>
    <w:rsid w:val="00E11922"/>
    <w:rsid w:val="00E132EC"/>
    <w:rsid w:val="00E15682"/>
    <w:rsid w:val="00E16EB3"/>
    <w:rsid w:val="00E17AD2"/>
    <w:rsid w:val="00E208EA"/>
    <w:rsid w:val="00E20963"/>
    <w:rsid w:val="00E20EBB"/>
    <w:rsid w:val="00E21EED"/>
    <w:rsid w:val="00E2289B"/>
    <w:rsid w:val="00E23010"/>
    <w:rsid w:val="00E237E1"/>
    <w:rsid w:val="00E239D3"/>
    <w:rsid w:val="00E23B60"/>
    <w:rsid w:val="00E25416"/>
    <w:rsid w:val="00E26004"/>
    <w:rsid w:val="00E271F0"/>
    <w:rsid w:val="00E27FD6"/>
    <w:rsid w:val="00E30345"/>
    <w:rsid w:val="00E304F1"/>
    <w:rsid w:val="00E328CC"/>
    <w:rsid w:val="00E36764"/>
    <w:rsid w:val="00E36E51"/>
    <w:rsid w:val="00E41969"/>
    <w:rsid w:val="00E41FF8"/>
    <w:rsid w:val="00E4277C"/>
    <w:rsid w:val="00E4319D"/>
    <w:rsid w:val="00E446A7"/>
    <w:rsid w:val="00E44741"/>
    <w:rsid w:val="00E47250"/>
    <w:rsid w:val="00E53E96"/>
    <w:rsid w:val="00E612CB"/>
    <w:rsid w:val="00E61FA2"/>
    <w:rsid w:val="00E6327B"/>
    <w:rsid w:val="00E63387"/>
    <w:rsid w:val="00E64566"/>
    <w:rsid w:val="00E64A66"/>
    <w:rsid w:val="00E64D23"/>
    <w:rsid w:val="00E656C6"/>
    <w:rsid w:val="00E6629F"/>
    <w:rsid w:val="00E701D4"/>
    <w:rsid w:val="00E72D55"/>
    <w:rsid w:val="00E735C0"/>
    <w:rsid w:val="00E75C01"/>
    <w:rsid w:val="00E76F13"/>
    <w:rsid w:val="00E76FC2"/>
    <w:rsid w:val="00E773AE"/>
    <w:rsid w:val="00E80B38"/>
    <w:rsid w:val="00E81003"/>
    <w:rsid w:val="00E819ED"/>
    <w:rsid w:val="00E81D83"/>
    <w:rsid w:val="00E820F6"/>
    <w:rsid w:val="00E82F73"/>
    <w:rsid w:val="00E8387F"/>
    <w:rsid w:val="00E850E8"/>
    <w:rsid w:val="00E8535D"/>
    <w:rsid w:val="00E85AD0"/>
    <w:rsid w:val="00E90C20"/>
    <w:rsid w:val="00E91FA2"/>
    <w:rsid w:val="00E94E72"/>
    <w:rsid w:val="00E95DC3"/>
    <w:rsid w:val="00EA0A04"/>
    <w:rsid w:val="00EA0A10"/>
    <w:rsid w:val="00EA0D42"/>
    <w:rsid w:val="00EA2689"/>
    <w:rsid w:val="00EA2C60"/>
    <w:rsid w:val="00EA57C6"/>
    <w:rsid w:val="00EA5A2B"/>
    <w:rsid w:val="00EA627D"/>
    <w:rsid w:val="00EA7D74"/>
    <w:rsid w:val="00EA7E4F"/>
    <w:rsid w:val="00EB22D4"/>
    <w:rsid w:val="00EB3B77"/>
    <w:rsid w:val="00EB4DC1"/>
    <w:rsid w:val="00EB726D"/>
    <w:rsid w:val="00EB786B"/>
    <w:rsid w:val="00EC0B0D"/>
    <w:rsid w:val="00EC0C73"/>
    <w:rsid w:val="00EC1754"/>
    <w:rsid w:val="00EC1F4C"/>
    <w:rsid w:val="00EC51CD"/>
    <w:rsid w:val="00EC5B90"/>
    <w:rsid w:val="00EC769A"/>
    <w:rsid w:val="00ED01B6"/>
    <w:rsid w:val="00ED08C9"/>
    <w:rsid w:val="00ED1710"/>
    <w:rsid w:val="00ED1D5D"/>
    <w:rsid w:val="00ED49B8"/>
    <w:rsid w:val="00ED4E41"/>
    <w:rsid w:val="00ED4EA0"/>
    <w:rsid w:val="00ED509E"/>
    <w:rsid w:val="00ED5226"/>
    <w:rsid w:val="00ED6531"/>
    <w:rsid w:val="00ED7E49"/>
    <w:rsid w:val="00ED7EB7"/>
    <w:rsid w:val="00EE0DBB"/>
    <w:rsid w:val="00EE1782"/>
    <w:rsid w:val="00EE289D"/>
    <w:rsid w:val="00EE2F5B"/>
    <w:rsid w:val="00EE3D52"/>
    <w:rsid w:val="00EE4363"/>
    <w:rsid w:val="00EE473D"/>
    <w:rsid w:val="00EE732B"/>
    <w:rsid w:val="00EE744D"/>
    <w:rsid w:val="00EE7B60"/>
    <w:rsid w:val="00EF3895"/>
    <w:rsid w:val="00EF3B77"/>
    <w:rsid w:val="00EF6BD5"/>
    <w:rsid w:val="00EF7093"/>
    <w:rsid w:val="00EF71D2"/>
    <w:rsid w:val="00F00275"/>
    <w:rsid w:val="00F00A2C"/>
    <w:rsid w:val="00F01569"/>
    <w:rsid w:val="00F01B8A"/>
    <w:rsid w:val="00F0235E"/>
    <w:rsid w:val="00F03BB8"/>
    <w:rsid w:val="00F03D77"/>
    <w:rsid w:val="00F0407F"/>
    <w:rsid w:val="00F040B2"/>
    <w:rsid w:val="00F04447"/>
    <w:rsid w:val="00F061DF"/>
    <w:rsid w:val="00F06823"/>
    <w:rsid w:val="00F06C51"/>
    <w:rsid w:val="00F12428"/>
    <w:rsid w:val="00F12A50"/>
    <w:rsid w:val="00F13DFA"/>
    <w:rsid w:val="00F159CA"/>
    <w:rsid w:val="00F177B8"/>
    <w:rsid w:val="00F2086F"/>
    <w:rsid w:val="00F2103C"/>
    <w:rsid w:val="00F228D1"/>
    <w:rsid w:val="00F24429"/>
    <w:rsid w:val="00F25CB9"/>
    <w:rsid w:val="00F271AF"/>
    <w:rsid w:val="00F27E2A"/>
    <w:rsid w:val="00F30080"/>
    <w:rsid w:val="00F3019B"/>
    <w:rsid w:val="00F31A5E"/>
    <w:rsid w:val="00F34403"/>
    <w:rsid w:val="00F34A67"/>
    <w:rsid w:val="00F35FEC"/>
    <w:rsid w:val="00F374D5"/>
    <w:rsid w:val="00F408F2"/>
    <w:rsid w:val="00F40989"/>
    <w:rsid w:val="00F40BA3"/>
    <w:rsid w:val="00F42155"/>
    <w:rsid w:val="00F42FEE"/>
    <w:rsid w:val="00F43855"/>
    <w:rsid w:val="00F44321"/>
    <w:rsid w:val="00F459E5"/>
    <w:rsid w:val="00F46E16"/>
    <w:rsid w:val="00F47FEC"/>
    <w:rsid w:val="00F5137F"/>
    <w:rsid w:val="00F56BDA"/>
    <w:rsid w:val="00F6043E"/>
    <w:rsid w:val="00F60658"/>
    <w:rsid w:val="00F61142"/>
    <w:rsid w:val="00F61C83"/>
    <w:rsid w:val="00F61D57"/>
    <w:rsid w:val="00F626DB"/>
    <w:rsid w:val="00F62896"/>
    <w:rsid w:val="00F63E9E"/>
    <w:rsid w:val="00F648FC"/>
    <w:rsid w:val="00F64DEA"/>
    <w:rsid w:val="00F657F4"/>
    <w:rsid w:val="00F717D8"/>
    <w:rsid w:val="00F7238F"/>
    <w:rsid w:val="00F73CB2"/>
    <w:rsid w:val="00F740D9"/>
    <w:rsid w:val="00F74EF3"/>
    <w:rsid w:val="00F82162"/>
    <w:rsid w:val="00F82C1D"/>
    <w:rsid w:val="00F837F5"/>
    <w:rsid w:val="00F863EA"/>
    <w:rsid w:val="00F865AF"/>
    <w:rsid w:val="00F92BA0"/>
    <w:rsid w:val="00F949FD"/>
    <w:rsid w:val="00F94DCD"/>
    <w:rsid w:val="00F956E3"/>
    <w:rsid w:val="00F958BD"/>
    <w:rsid w:val="00F95EA2"/>
    <w:rsid w:val="00F972FE"/>
    <w:rsid w:val="00F9769E"/>
    <w:rsid w:val="00FA0190"/>
    <w:rsid w:val="00FA0B26"/>
    <w:rsid w:val="00FA1E17"/>
    <w:rsid w:val="00FA2080"/>
    <w:rsid w:val="00FA20DC"/>
    <w:rsid w:val="00FA3CF7"/>
    <w:rsid w:val="00FA41D1"/>
    <w:rsid w:val="00FA5DB0"/>
    <w:rsid w:val="00FA71CB"/>
    <w:rsid w:val="00FA789F"/>
    <w:rsid w:val="00FB08FD"/>
    <w:rsid w:val="00FB16DF"/>
    <w:rsid w:val="00FB1FF0"/>
    <w:rsid w:val="00FB2528"/>
    <w:rsid w:val="00FB2D64"/>
    <w:rsid w:val="00FB384B"/>
    <w:rsid w:val="00FB39DC"/>
    <w:rsid w:val="00FB6732"/>
    <w:rsid w:val="00FB6A95"/>
    <w:rsid w:val="00FC0D1B"/>
    <w:rsid w:val="00FC1C09"/>
    <w:rsid w:val="00FC281B"/>
    <w:rsid w:val="00FC3258"/>
    <w:rsid w:val="00FC3C02"/>
    <w:rsid w:val="00FC4398"/>
    <w:rsid w:val="00FC4745"/>
    <w:rsid w:val="00FC5713"/>
    <w:rsid w:val="00FC57CF"/>
    <w:rsid w:val="00FC64AA"/>
    <w:rsid w:val="00FC69A8"/>
    <w:rsid w:val="00FD1084"/>
    <w:rsid w:val="00FD1243"/>
    <w:rsid w:val="00FD1717"/>
    <w:rsid w:val="00FD18A8"/>
    <w:rsid w:val="00FD1A24"/>
    <w:rsid w:val="00FD1D04"/>
    <w:rsid w:val="00FD29B4"/>
    <w:rsid w:val="00FD32D1"/>
    <w:rsid w:val="00FD34FB"/>
    <w:rsid w:val="00FD64B2"/>
    <w:rsid w:val="00FD664B"/>
    <w:rsid w:val="00FE04E7"/>
    <w:rsid w:val="00FE1ABE"/>
    <w:rsid w:val="00FE2070"/>
    <w:rsid w:val="00FE3396"/>
    <w:rsid w:val="00FE368E"/>
    <w:rsid w:val="00FE36AE"/>
    <w:rsid w:val="00FF0567"/>
    <w:rsid w:val="00FF2390"/>
    <w:rsid w:val="00FF284F"/>
    <w:rsid w:val="00FF318E"/>
    <w:rsid w:val="00FF3E58"/>
    <w:rsid w:val="00FF4323"/>
    <w:rsid w:val="00FF4FC0"/>
    <w:rsid w:val="00FF5236"/>
    <w:rsid w:val="00FF5E72"/>
    <w:rsid w:val="00FF6C3F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FZchn">
    <w:name w:val="TF Zchn"/>
    <w:link w:val="TF"/>
    <w:locked/>
    <w:rsid w:val="003F6033"/>
    <w:rPr>
      <w:rFonts w:ascii="Arial" w:eastAsia="Times New Roman" w:hAnsi="Arial" w:cs="Times New Roman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FZchn">
    <w:name w:val="TF Zchn"/>
    <w:link w:val="TF"/>
    <w:locked/>
    <w:rsid w:val="003F6033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package" Target="embeddings/Microsoft_Word_Document1.docx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3gpp.org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73B7C-F420-4E50-B313-94BE1DE1A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7</Pages>
  <Words>2233</Words>
  <Characters>12734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Y.-P. Eric Wang</cp:lastModifiedBy>
  <cp:revision>116</cp:revision>
  <cp:lastPrinted>2015-07-20T19:34:00Z</cp:lastPrinted>
  <dcterms:created xsi:type="dcterms:W3CDTF">2015-12-07T17:38:00Z</dcterms:created>
  <dcterms:modified xsi:type="dcterms:W3CDTF">2016-01-11T18:12:00Z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